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jc w:val="center"/>
        <w:rPr>
          <w:rFonts w:ascii="黑体" w:hAnsi="黑体" w:eastAsia="黑体" w:cs="Times New Roman"/>
          <w:b/>
          <w:bCs/>
          <w:color w:val="333333"/>
          <w:sz w:val="40"/>
          <w:szCs w:val="40"/>
        </w:rPr>
      </w:pPr>
      <w:r>
        <w:rPr>
          <w:rFonts w:hint="eastAsia" w:ascii="黑体" w:hAnsi="黑体" w:eastAsia="黑体" w:cs="黑体"/>
          <w:b/>
          <w:bCs/>
          <w:color w:val="333333"/>
          <w:sz w:val="40"/>
          <w:szCs w:val="40"/>
        </w:rPr>
        <w:t>苏州大学文学院推免加分细则（</w:t>
      </w:r>
      <w:r>
        <w:rPr>
          <w:rFonts w:ascii="黑体" w:hAnsi="黑体" w:eastAsia="黑体" w:cs="黑体"/>
          <w:b/>
          <w:bCs/>
          <w:color w:val="333333"/>
          <w:sz w:val="40"/>
          <w:szCs w:val="40"/>
        </w:rPr>
        <w:t>2022</w:t>
      </w:r>
      <w:r>
        <w:rPr>
          <w:rFonts w:hint="eastAsia" w:ascii="黑体" w:hAnsi="黑体" w:eastAsia="黑体" w:cs="黑体"/>
          <w:b/>
          <w:bCs/>
          <w:color w:val="333333"/>
          <w:sz w:val="40"/>
          <w:szCs w:val="40"/>
        </w:rPr>
        <w:t>届）</w:t>
      </w:r>
    </w:p>
    <w:p>
      <w:pPr>
        <w:pStyle w:val="6"/>
        <w:numPr>
          <w:ilvl w:val="0"/>
          <w:numId w:val="1"/>
        </w:numPr>
        <w:spacing w:before="0" w:beforeAutospacing="0" w:after="156" w:afterLines="50" w:afterAutospacing="0"/>
        <w:ind w:left="599" w:hanging="599" w:hangingChars="213"/>
        <w:rPr>
          <w:rFonts w:cs="Times New Roman"/>
          <w:b/>
          <w:bCs/>
          <w:color w:val="333333"/>
          <w:sz w:val="28"/>
          <w:szCs w:val="28"/>
        </w:rPr>
      </w:pPr>
      <w:r>
        <w:rPr>
          <w:rFonts w:hint="eastAsia"/>
          <w:b/>
          <w:bCs/>
          <w:color w:val="333333"/>
          <w:sz w:val="28"/>
          <w:szCs w:val="28"/>
        </w:rPr>
        <w:t>参军入伍服兵役（最高</w:t>
      </w:r>
      <w:r>
        <w:rPr>
          <w:b/>
          <w:bCs/>
          <w:color w:val="333333"/>
          <w:sz w:val="28"/>
          <w:szCs w:val="28"/>
        </w:rPr>
        <w:t>20</w:t>
      </w:r>
      <w:r>
        <w:rPr>
          <w:rFonts w:hint="eastAsia"/>
          <w:b/>
          <w:bCs/>
          <w:color w:val="333333"/>
          <w:sz w:val="28"/>
          <w:szCs w:val="28"/>
        </w:rPr>
        <w:t>分）</w:t>
      </w:r>
    </w:p>
    <w:tbl>
      <w:tblPr>
        <w:tblStyle w:val="9"/>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26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94"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2268"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加分</w:t>
            </w:r>
          </w:p>
        </w:tc>
        <w:tc>
          <w:tcPr>
            <w:tcW w:w="4111"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tcPr>
          <w:p>
            <w:pPr>
              <w:pStyle w:val="6"/>
              <w:spacing w:before="0" w:beforeAutospacing="0" w:after="156" w:afterLines="50" w:afterAutospacing="0"/>
              <w:rPr>
                <w:rFonts w:ascii="仿宋" w:hAnsi="仿宋" w:eastAsia="仿宋" w:cs="Times New Roman"/>
                <w:color w:val="333333"/>
                <w:sz w:val="22"/>
                <w:szCs w:val="22"/>
              </w:rPr>
            </w:pPr>
            <w:r>
              <w:rPr>
                <w:rFonts w:hint="eastAsia" w:ascii="仿宋" w:hAnsi="仿宋" w:eastAsia="仿宋" w:cs="仿宋"/>
                <w:color w:val="333333"/>
                <w:sz w:val="22"/>
                <w:szCs w:val="22"/>
              </w:rPr>
              <w:t>完成两年兵役</w:t>
            </w: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12</w:t>
            </w:r>
          </w:p>
        </w:tc>
        <w:tc>
          <w:tcPr>
            <w:tcW w:w="4111" w:type="dxa"/>
            <w:vMerge w:val="restart"/>
            <w:vAlign w:val="center"/>
          </w:tcPr>
          <w:p>
            <w:pPr>
              <w:pStyle w:val="6"/>
              <w:spacing w:before="0" w:beforeAutospacing="0" w:after="156" w:afterLines="50" w:afterAutospacing="0"/>
              <w:jc w:val="both"/>
              <w:rPr>
                <w:rFonts w:cs="Times New Roman"/>
                <w:color w:val="333333"/>
                <w:sz w:val="22"/>
                <w:szCs w:val="22"/>
              </w:rPr>
            </w:pPr>
            <w:r>
              <w:rPr>
                <w:rFonts w:hint="eastAsia"/>
                <w:color w:val="333333"/>
                <w:sz w:val="22"/>
                <w:szCs w:val="22"/>
              </w:rPr>
              <w:t>学生同时荣获一等功、二等功或三等功多次，按最高分计算。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694" w:type="dxa"/>
          </w:tcPr>
          <w:p>
            <w:pPr>
              <w:pStyle w:val="6"/>
              <w:spacing w:before="0" w:beforeAutospacing="0" w:after="156" w:afterLines="50" w:afterAutospacing="0"/>
              <w:rPr>
                <w:rFonts w:ascii="仿宋" w:hAnsi="仿宋" w:eastAsia="仿宋" w:cs="Times New Roman"/>
                <w:color w:val="333333"/>
                <w:sz w:val="22"/>
                <w:szCs w:val="22"/>
              </w:rPr>
            </w:pPr>
            <w:r>
              <w:rPr>
                <w:rFonts w:hint="eastAsia" w:ascii="仿宋" w:hAnsi="仿宋" w:eastAsia="仿宋" w:cs="仿宋"/>
                <w:color w:val="333333"/>
                <w:sz w:val="22"/>
                <w:szCs w:val="22"/>
              </w:rPr>
              <w:t>服役期间荣获个人</w:t>
            </w:r>
            <w:r>
              <w:rPr>
                <w:rFonts w:ascii="仿宋" w:hAnsi="仿宋" w:eastAsia="仿宋" w:cs="仿宋"/>
                <w:color w:val="333333"/>
                <w:sz w:val="22"/>
                <w:szCs w:val="22"/>
              </w:rPr>
              <w:t>/</w:t>
            </w:r>
            <w:r>
              <w:rPr>
                <w:rFonts w:hint="eastAsia" w:ascii="仿宋" w:hAnsi="仿宋" w:eastAsia="仿宋" w:cs="仿宋"/>
                <w:color w:val="333333"/>
                <w:sz w:val="22"/>
                <w:szCs w:val="22"/>
              </w:rPr>
              <w:t>集体一等功</w:t>
            </w: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20/18</w:t>
            </w:r>
          </w:p>
        </w:tc>
        <w:tc>
          <w:tcPr>
            <w:tcW w:w="4111" w:type="dxa"/>
            <w:vMerge w:val="continue"/>
          </w:tcPr>
          <w:p>
            <w:pPr>
              <w:pStyle w:val="6"/>
              <w:spacing w:before="0" w:beforeAutospacing="0" w:after="156" w:afterLines="50" w:afterAutospacing="0"/>
              <w:rPr>
                <w:rFonts w:cs="Times New Roman"/>
                <w:color w:val="33333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694" w:type="dxa"/>
          </w:tcPr>
          <w:p>
            <w:pPr>
              <w:pStyle w:val="6"/>
              <w:spacing w:before="0" w:beforeAutospacing="0" w:after="156" w:afterLines="50" w:afterAutospacing="0"/>
              <w:rPr>
                <w:rFonts w:ascii="仿宋" w:hAnsi="仿宋" w:eastAsia="仿宋" w:cs="Times New Roman"/>
                <w:color w:val="333333"/>
                <w:sz w:val="22"/>
                <w:szCs w:val="22"/>
              </w:rPr>
            </w:pPr>
            <w:r>
              <w:rPr>
                <w:rFonts w:hint="eastAsia" w:ascii="仿宋" w:hAnsi="仿宋" w:eastAsia="仿宋" w:cs="仿宋"/>
                <w:color w:val="333333"/>
                <w:sz w:val="22"/>
                <w:szCs w:val="22"/>
              </w:rPr>
              <w:t>服役期间荣获个人</w:t>
            </w:r>
            <w:r>
              <w:rPr>
                <w:rFonts w:ascii="仿宋" w:hAnsi="仿宋" w:eastAsia="仿宋" w:cs="仿宋"/>
                <w:color w:val="333333"/>
                <w:sz w:val="22"/>
                <w:szCs w:val="22"/>
              </w:rPr>
              <w:t>/</w:t>
            </w:r>
            <w:r>
              <w:rPr>
                <w:rFonts w:hint="eastAsia" w:ascii="仿宋" w:hAnsi="仿宋" w:eastAsia="仿宋" w:cs="仿宋"/>
                <w:color w:val="333333"/>
                <w:sz w:val="22"/>
                <w:szCs w:val="22"/>
              </w:rPr>
              <w:t>集体二等功</w:t>
            </w: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18/16</w:t>
            </w:r>
          </w:p>
        </w:tc>
        <w:tc>
          <w:tcPr>
            <w:tcW w:w="4111" w:type="dxa"/>
            <w:vMerge w:val="continue"/>
          </w:tcPr>
          <w:p>
            <w:pPr>
              <w:pStyle w:val="6"/>
              <w:spacing w:before="0" w:beforeAutospacing="0" w:after="156" w:afterLines="50" w:afterAutospacing="0"/>
              <w:rPr>
                <w:rFonts w:cs="Times New Roman"/>
                <w:color w:val="333333"/>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94" w:type="dxa"/>
          </w:tcPr>
          <w:p>
            <w:pPr>
              <w:pStyle w:val="6"/>
              <w:spacing w:before="0" w:beforeAutospacing="0" w:after="156" w:afterLines="50" w:afterAutospacing="0"/>
              <w:rPr>
                <w:rFonts w:ascii="仿宋" w:hAnsi="仿宋" w:eastAsia="仿宋" w:cs="Times New Roman"/>
                <w:color w:val="333333"/>
                <w:sz w:val="22"/>
                <w:szCs w:val="22"/>
              </w:rPr>
            </w:pPr>
            <w:r>
              <w:rPr>
                <w:rFonts w:hint="eastAsia" w:ascii="仿宋" w:hAnsi="仿宋" w:eastAsia="仿宋" w:cs="仿宋"/>
                <w:color w:val="333333"/>
                <w:sz w:val="22"/>
                <w:szCs w:val="22"/>
              </w:rPr>
              <w:t>服役期间荣获个人</w:t>
            </w:r>
            <w:r>
              <w:rPr>
                <w:rFonts w:ascii="仿宋" w:hAnsi="仿宋" w:eastAsia="仿宋" w:cs="仿宋"/>
                <w:color w:val="333333"/>
                <w:sz w:val="22"/>
                <w:szCs w:val="22"/>
              </w:rPr>
              <w:t>/</w:t>
            </w:r>
            <w:r>
              <w:rPr>
                <w:rFonts w:hint="eastAsia" w:ascii="仿宋" w:hAnsi="仿宋" w:eastAsia="仿宋" w:cs="仿宋"/>
                <w:color w:val="333333"/>
                <w:sz w:val="22"/>
                <w:szCs w:val="22"/>
              </w:rPr>
              <w:t>集体三等功</w:t>
            </w: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16/14</w:t>
            </w:r>
          </w:p>
        </w:tc>
        <w:tc>
          <w:tcPr>
            <w:tcW w:w="4111" w:type="dxa"/>
            <w:vMerge w:val="continue"/>
          </w:tcPr>
          <w:p>
            <w:pPr>
              <w:pStyle w:val="6"/>
              <w:spacing w:before="0" w:beforeAutospacing="0" w:after="156" w:afterLines="50" w:afterAutospacing="0"/>
              <w:rPr>
                <w:rFonts w:cs="Times New Roman"/>
                <w:color w:val="333333"/>
                <w:sz w:val="22"/>
                <w:szCs w:val="22"/>
              </w:rPr>
            </w:pPr>
          </w:p>
        </w:tc>
      </w:tr>
    </w:tbl>
    <w:p>
      <w:pPr>
        <w:pStyle w:val="6"/>
        <w:numPr>
          <w:ilvl w:val="0"/>
          <w:numId w:val="1"/>
        </w:numPr>
        <w:spacing w:before="0" w:beforeAutospacing="0" w:after="156" w:afterLines="50" w:afterAutospacing="0"/>
        <w:ind w:left="599" w:hanging="599" w:hangingChars="213"/>
        <w:rPr>
          <w:rFonts w:cs="Times New Roman"/>
          <w:b/>
          <w:bCs/>
          <w:color w:val="333333"/>
          <w:sz w:val="28"/>
          <w:szCs w:val="28"/>
        </w:rPr>
      </w:pPr>
      <w:r>
        <w:rPr>
          <w:rFonts w:hint="eastAsia"/>
          <w:b/>
          <w:bCs/>
          <w:color w:val="333333"/>
          <w:sz w:val="28"/>
          <w:szCs w:val="28"/>
        </w:rPr>
        <w:t>参加志愿服务（最高</w:t>
      </w:r>
      <w:r>
        <w:rPr>
          <w:b/>
          <w:bCs/>
          <w:color w:val="333333"/>
          <w:sz w:val="28"/>
          <w:szCs w:val="28"/>
        </w:rPr>
        <w:t>10</w:t>
      </w:r>
      <w:r>
        <w:rPr>
          <w:rFonts w:hint="eastAsia"/>
          <w:b/>
          <w:bCs/>
          <w:color w:val="333333"/>
          <w:sz w:val="28"/>
          <w:szCs w:val="28"/>
        </w:rPr>
        <w:t>分）</w:t>
      </w:r>
    </w:p>
    <w:tbl>
      <w:tblPr>
        <w:tblStyle w:val="9"/>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1134"/>
        <w:gridCol w:w="1984"/>
        <w:gridCol w:w="70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3118" w:type="dxa"/>
            <w:gridSpan w:val="2"/>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志愿服务情况</w:t>
            </w:r>
          </w:p>
        </w:tc>
        <w:tc>
          <w:tcPr>
            <w:tcW w:w="709"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分值</w:t>
            </w:r>
          </w:p>
        </w:tc>
        <w:tc>
          <w:tcPr>
            <w:tcW w:w="3969"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学生工作</w:t>
            </w:r>
          </w:p>
        </w:tc>
        <w:tc>
          <w:tcPr>
            <w:tcW w:w="113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党组织</w:t>
            </w: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学生党支部委员</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3969" w:type="dxa"/>
            <w:vMerge w:val="restart"/>
            <w:vAlign w:val="center"/>
          </w:tcPr>
          <w:p>
            <w:pPr>
              <w:pStyle w:val="6"/>
              <w:numPr>
                <w:ilvl w:val="0"/>
                <w:numId w:val="2"/>
              </w:numPr>
              <w:spacing w:before="0" w:beforeAutospacing="0" w:after="0" w:afterAutospacing="0"/>
              <w:ind w:left="420" w:hanging="420" w:hangingChars="200"/>
              <w:rPr>
                <w:rFonts w:ascii="仿宋" w:hAnsi="仿宋" w:eastAsia="仿宋" w:cs="Times New Roman"/>
                <w:color w:val="333333"/>
                <w:sz w:val="21"/>
                <w:szCs w:val="21"/>
              </w:rPr>
            </w:pPr>
            <w:r>
              <w:rPr>
                <w:rFonts w:hint="eastAsia" w:ascii="仿宋" w:hAnsi="仿宋" w:eastAsia="仿宋" w:cs="仿宋"/>
                <w:color w:val="333333"/>
                <w:sz w:val="21"/>
                <w:szCs w:val="21"/>
              </w:rPr>
              <w:t>必须获得一次校级“三好生”或者“优秀学生干部”称号或在校级“两红三优”中获得表彰方可获得加分资格；</w:t>
            </w:r>
          </w:p>
          <w:p>
            <w:pPr>
              <w:pStyle w:val="6"/>
              <w:numPr>
                <w:ilvl w:val="0"/>
                <w:numId w:val="2"/>
              </w:numPr>
              <w:spacing w:before="0" w:beforeAutospacing="0" w:after="0" w:afterAutospacing="0"/>
              <w:ind w:left="420" w:hanging="420" w:hangingChars="200"/>
              <w:rPr>
                <w:rFonts w:ascii="仿宋" w:hAnsi="仿宋" w:eastAsia="仿宋" w:cs="Times New Roman"/>
                <w:color w:val="333333"/>
                <w:sz w:val="21"/>
                <w:szCs w:val="21"/>
              </w:rPr>
            </w:pPr>
            <w:r>
              <w:rPr>
                <w:rFonts w:hint="eastAsia" w:ascii="仿宋" w:hAnsi="仿宋" w:eastAsia="仿宋" w:cs="仿宋"/>
                <w:color w:val="333333"/>
                <w:sz w:val="21"/>
                <w:szCs w:val="21"/>
              </w:rPr>
              <w:t>学生组织负责人，副职加分减半。校院两级学生组织同等看待。学生组织主要包括学生会、社联、科协、新闻中心、勤工办，学生社团等同学生组织下属部门；</w:t>
            </w:r>
          </w:p>
          <w:p>
            <w:pPr>
              <w:pStyle w:val="6"/>
              <w:numPr>
                <w:ilvl w:val="0"/>
                <w:numId w:val="2"/>
              </w:numPr>
              <w:spacing w:before="0" w:beforeAutospacing="0" w:after="0" w:afterAutospacing="0"/>
              <w:ind w:left="420" w:hanging="420" w:hangingChars="200"/>
              <w:rPr>
                <w:rFonts w:ascii="仿宋" w:hAnsi="仿宋" w:eastAsia="仿宋" w:cs="Times New Roman"/>
                <w:color w:val="333333"/>
                <w:sz w:val="21"/>
                <w:szCs w:val="21"/>
              </w:rPr>
            </w:pPr>
            <w:r>
              <w:rPr>
                <w:rFonts w:hint="eastAsia" w:ascii="仿宋" w:hAnsi="仿宋" w:eastAsia="仿宋" w:cs="仿宋"/>
                <w:color w:val="333333"/>
                <w:sz w:val="21"/>
                <w:szCs w:val="21"/>
              </w:rPr>
              <w:t>获得国家级、省级“三好生”、“优秀学生干部”或者校级“五四青年奖”、“王晓军精神文明奖”的学生骨干直接以最高分</w:t>
            </w:r>
            <w:r>
              <w:rPr>
                <w:rFonts w:ascii="仿宋" w:hAnsi="仿宋" w:eastAsia="仿宋" w:cs="仿宋"/>
                <w:color w:val="333333"/>
                <w:sz w:val="21"/>
                <w:szCs w:val="21"/>
              </w:rPr>
              <w:t>10</w:t>
            </w:r>
            <w:r>
              <w:rPr>
                <w:rFonts w:hint="eastAsia" w:ascii="仿宋" w:hAnsi="仿宋" w:eastAsia="仿宋" w:cs="仿宋"/>
                <w:color w:val="333333"/>
                <w:sz w:val="21"/>
                <w:szCs w:val="21"/>
              </w:rPr>
              <w:t>分计算；</w:t>
            </w:r>
          </w:p>
          <w:p>
            <w:pPr>
              <w:pStyle w:val="6"/>
              <w:numPr>
                <w:ilvl w:val="0"/>
                <w:numId w:val="2"/>
              </w:numPr>
              <w:spacing w:before="0" w:beforeAutospacing="0" w:after="0" w:afterAutospacing="0"/>
              <w:ind w:left="420" w:hanging="420" w:hangingChars="200"/>
              <w:rPr>
                <w:rFonts w:ascii="仿宋" w:hAnsi="仿宋" w:eastAsia="仿宋" w:cs="Times New Roman"/>
                <w:color w:val="333333"/>
                <w:sz w:val="21"/>
                <w:szCs w:val="21"/>
              </w:rPr>
            </w:pPr>
            <w:r>
              <w:rPr>
                <w:rFonts w:hint="eastAsia" w:ascii="仿宋" w:hAnsi="仿宋" w:eastAsia="仿宋" w:cs="仿宋"/>
                <w:color w:val="333333"/>
                <w:sz w:val="21"/>
                <w:szCs w:val="21"/>
              </w:rPr>
              <w:t>突发事件中，有效化解危机、表现突出的学生可酌情加分；</w:t>
            </w:r>
          </w:p>
          <w:p>
            <w:pPr>
              <w:pStyle w:val="6"/>
              <w:numPr>
                <w:ilvl w:val="0"/>
                <w:numId w:val="2"/>
              </w:numPr>
              <w:spacing w:before="0" w:beforeAutospacing="0" w:after="0" w:afterAutospacing="0"/>
              <w:ind w:left="420" w:hanging="420" w:hangingChars="200"/>
              <w:rPr>
                <w:rFonts w:ascii="仿宋" w:hAnsi="仿宋" w:eastAsia="仿宋" w:cs="Times New Roman"/>
                <w:color w:val="333333"/>
              </w:rPr>
            </w:pPr>
            <w:r>
              <w:rPr>
                <w:rFonts w:hint="eastAsia" w:ascii="仿宋" w:hAnsi="仿宋" w:eastAsia="仿宋" w:cs="仿宋"/>
                <w:color w:val="333333"/>
                <w:sz w:val="21"/>
                <w:szCs w:val="21"/>
              </w:rPr>
              <w:t>同时兼任多项社会工作，不可累计，取最高分值计算。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团组织</w:t>
            </w: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团委学生副书记</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团校秘书长</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团委委员</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学生组织</w:t>
            </w:r>
            <w:r>
              <w:rPr>
                <w:rFonts w:ascii="仿宋" w:hAnsi="仿宋" w:eastAsia="仿宋" w:cs="仿宋"/>
                <w:color w:val="333333"/>
              </w:rPr>
              <w:t>/</w:t>
            </w:r>
            <w:r>
              <w:rPr>
                <w:rFonts w:hint="eastAsia" w:ascii="仿宋" w:hAnsi="仿宋" w:eastAsia="仿宋" w:cs="仿宋"/>
                <w:color w:val="333333"/>
              </w:rPr>
              <w:t>社团</w:t>
            </w: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组织负责人</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部门负责人</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班级</w:t>
            </w: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班长</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团支书</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学习委员</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其他班团委</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公益活动</w:t>
            </w:r>
          </w:p>
        </w:tc>
        <w:tc>
          <w:tcPr>
            <w:tcW w:w="113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服务</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时间</w:t>
            </w: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ascii="仿宋" w:hAnsi="仿宋" w:eastAsia="仿宋" w:cs="仿宋"/>
                <w:color w:val="333333"/>
              </w:rPr>
              <w:t>601</w:t>
            </w:r>
            <w:r>
              <w:rPr>
                <w:rFonts w:hint="eastAsia" w:ascii="仿宋" w:hAnsi="仿宋" w:eastAsia="仿宋" w:cs="仿宋"/>
                <w:color w:val="333333"/>
              </w:rPr>
              <w:t>小时以上</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3969" w:type="dxa"/>
            <w:vMerge w:val="restart"/>
            <w:vAlign w:val="center"/>
          </w:tcPr>
          <w:p>
            <w:pPr>
              <w:pStyle w:val="6"/>
              <w:spacing w:before="0" w:beforeAutospacing="0" w:after="0" w:afterAutospacing="0"/>
              <w:rPr>
                <w:rFonts w:ascii="仿宋" w:hAnsi="仿宋" w:eastAsia="仿宋" w:cs="Times New Roman"/>
                <w:color w:val="333333"/>
              </w:rPr>
            </w:pPr>
            <w:r>
              <w:rPr>
                <w:rFonts w:hint="eastAsia" w:ascii="仿宋" w:hAnsi="仿宋" w:eastAsia="仿宋" w:cs="仿宋"/>
                <w:color w:val="333333"/>
              </w:rPr>
              <w:t>与学生工作获得分值不累加，服务时长为三年累计。各类志愿服务时间须有学院团委认定方可计算在内，不经认定的时间不纳入计算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ascii="仿宋" w:hAnsi="仿宋" w:eastAsia="仿宋" w:cs="仿宋"/>
                <w:color w:val="333333"/>
              </w:rPr>
              <w:t>501-600</w:t>
            </w:r>
            <w:r>
              <w:rPr>
                <w:rFonts w:hint="eastAsia" w:ascii="仿宋" w:hAnsi="仿宋" w:eastAsia="仿宋" w:cs="仿宋"/>
                <w:color w:val="333333"/>
              </w:rPr>
              <w:t>小时</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ascii="仿宋" w:hAnsi="仿宋" w:eastAsia="仿宋" w:cs="仿宋"/>
                <w:color w:val="333333"/>
              </w:rPr>
              <w:t>401-500</w:t>
            </w:r>
            <w:r>
              <w:rPr>
                <w:rFonts w:hint="eastAsia" w:ascii="仿宋" w:hAnsi="仿宋" w:eastAsia="仿宋" w:cs="仿宋"/>
                <w:color w:val="333333"/>
              </w:rPr>
              <w:t>小时</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ascii="仿宋" w:hAnsi="仿宋" w:eastAsia="仿宋" w:cs="仿宋"/>
                <w:color w:val="333333"/>
              </w:rPr>
              <w:t>301-400</w:t>
            </w:r>
            <w:r>
              <w:rPr>
                <w:rFonts w:hint="eastAsia" w:ascii="仿宋" w:hAnsi="仿宋" w:eastAsia="仿宋" w:cs="仿宋"/>
                <w:color w:val="333333"/>
              </w:rPr>
              <w:t>小时</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7"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13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984" w:type="dxa"/>
            <w:vAlign w:val="center"/>
          </w:tcPr>
          <w:p>
            <w:pPr>
              <w:pStyle w:val="6"/>
              <w:spacing w:before="0" w:beforeAutospacing="0" w:after="0" w:afterAutospacing="0"/>
              <w:jc w:val="center"/>
              <w:rPr>
                <w:rFonts w:ascii="仿宋" w:hAnsi="仿宋" w:eastAsia="仿宋" w:cs="Times New Roman"/>
                <w:color w:val="333333"/>
              </w:rPr>
            </w:pPr>
            <w:r>
              <w:rPr>
                <w:rFonts w:ascii="仿宋" w:hAnsi="仿宋" w:eastAsia="仿宋" w:cs="仿宋"/>
                <w:color w:val="333333"/>
              </w:rPr>
              <w:t>200-300</w:t>
            </w:r>
            <w:r>
              <w:rPr>
                <w:rFonts w:hint="eastAsia" w:ascii="仿宋" w:hAnsi="仿宋" w:eastAsia="仿宋" w:cs="仿宋"/>
                <w:color w:val="333333"/>
              </w:rPr>
              <w:t>小时</w:t>
            </w:r>
          </w:p>
        </w:tc>
        <w:tc>
          <w:tcPr>
            <w:tcW w:w="709"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w:t>
            </w:r>
          </w:p>
        </w:tc>
        <w:tc>
          <w:tcPr>
            <w:tcW w:w="3969" w:type="dxa"/>
            <w:vMerge w:val="continue"/>
            <w:vAlign w:val="center"/>
          </w:tcPr>
          <w:p>
            <w:pPr>
              <w:pStyle w:val="6"/>
              <w:spacing w:before="0" w:beforeAutospacing="0" w:after="0" w:afterAutospacing="0"/>
              <w:jc w:val="center"/>
              <w:rPr>
                <w:rFonts w:ascii="仿宋" w:hAnsi="仿宋" w:eastAsia="仿宋" w:cs="仿宋"/>
                <w:color w:val="333333"/>
              </w:rPr>
            </w:pPr>
          </w:p>
        </w:tc>
      </w:tr>
    </w:tbl>
    <w:p>
      <w:pPr>
        <w:pStyle w:val="6"/>
        <w:spacing w:before="0" w:beforeAutospacing="0" w:after="156" w:afterLines="50" w:afterAutospacing="0"/>
        <w:rPr>
          <w:rFonts w:cs="Times New Roman"/>
          <w:b/>
          <w:bCs/>
          <w:color w:val="333333"/>
          <w:sz w:val="28"/>
          <w:szCs w:val="28"/>
        </w:rPr>
      </w:pPr>
    </w:p>
    <w:p>
      <w:pPr>
        <w:pStyle w:val="6"/>
        <w:numPr>
          <w:ilvl w:val="0"/>
          <w:numId w:val="1"/>
        </w:numPr>
        <w:spacing w:before="0" w:beforeAutospacing="0" w:after="156" w:afterLines="50" w:afterAutospacing="0"/>
        <w:ind w:left="599" w:hanging="599" w:hangingChars="213"/>
        <w:rPr>
          <w:rFonts w:cs="Times New Roman"/>
          <w:b/>
          <w:bCs/>
          <w:color w:val="333333"/>
          <w:sz w:val="28"/>
          <w:szCs w:val="28"/>
        </w:rPr>
      </w:pPr>
      <w:r>
        <w:rPr>
          <w:rFonts w:hint="eastAsia"/>
          <w:b/>
          <w:bCs/>
          <w:color w:val="333333"/>
          <w:sz w:val="28"/>
          <w:szCs w:val="28"/>
        </w:rPr>
        <w:t>国际组织实习（最高</w:t>
      </w:r>
      <w:r>
        <w:rPr>
          <w:b/>
          <w:bCs/>
          <w:color w:val="333333"/>
          <w:sz w:val="28"/>
          <w:szCs w:val="28"/>
        </w:rPr>
        <w:t>10</w:t>
      </w:r>
      <w:r>
        <w:rPr>
          <w:rFonts w:hint="eastAsia"/>
          <w:b/>
          <w:bCs/>
          <w:color w:val="333333"/>
          <w:sz w:val="28"/>
          <w:szCs w:val="28"/>
        </w:rPr>
        <w:t>分）</w:t>
      </w:r>
    </w:p>
    <w:tbl>
      <w:tblPr>
        <w:tblStyle w:val="9"/>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413"/>
        <w:gridCol w:w="1392"/>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tcPr>
          <w:p>
            <w:pPr>
              <w:pStyle w:val="6"/>
              <w:spacing w:before="0" w:beforeAutospacing="0" w:after="156" w:afterLines="50" w:afterAutospacing="0"/>
              <w:rPr>
                <w:rFonts w:cs="Times New Roman"/>
                <w:b/>
                <w:bCs/>
                <w:color w:val="333333"/>
                <w:sz w:val="21"/>
                <w:szCs w:val="21"/>
              </w:rPr>
            </w:pPr>
            <w:r>
              <w:rPr>
                <w:rFonts w:hint="eastAsia"/>
                <w:b/>
                <w:bCs/>
                <w:color w:val="333333"/>
                <w:sz w:val="21"/>
                <w:szCs w:val="21"/>
              </w:rPr>
              <w:t>类别</w:t>
            </w:r>
          </w:p>
        </w:tc>
        <w:tc>
          <w:tcPr>
            <w:tcW w:w="2522" w:type="dxa"/>
          </w:tcPr>
          <w:p>
            <w:pPr>
              <w:pStyle w:val="6"/>
              <w:spacing w:before="0" w:beforeAutospacing="0" w:after="156" w:afterLines="50" w:afterAutospacing="0"/>
              <w:rPr>
                <w:rFonts w:cs="Times New Roman"/>
                <w:b/>
                <w:bCs/>
                <w:color w:val="333333"/>
                <w:sz w:val="21"/>
                <w:szCs w:val="21"/>
              </w:rPr>
            </w:pPr>
            <w:r>
              <w:rPr>
                <w:rFonts w:hint="eastAsia"/>
                <w:b/>
                <w:bCs/>
                <w:color w:val="333333"/>
                <w:sz w:val="21"/>
                <w:szCs w:val="21"/>
              </w:rPr>
              <w:t>时间</w:t>
            </w:r>
          </w:p>
        </w:tc>
        <w:tc>
          <w:tcPr>
            <w:tcW w:w="1444" w:type="dxa"/>
          </w:tcPr>
          <w:p>
            <w:pPr>
              <w:pStyle w:val="6"/>
              <w:spacing w:before="0" w:beforeAutospacing="0" w:after="156" w:afterLines="50" w:afterAutospacing="0"/>
              <w:rPr>
                <w:rFonts w:cs="Times New Roman"/>
                <w:b/>
                <w:bCs/>
                <w:color w:val="333333"/>
                <w:sz w:val="21"/>
                <w:szCs w:val="21"/>
              </w:rPr>
            </w:pPr>
            <w:r>
              <w:rPr>
                <w:rFonts w:hint="eastAsia"/>
                <w:b/>
                <w:bCs/>
                <w:color w:val="333333"/>
                <w:sz w:val="21"/>
                <w:szCs w:val="21"/>
              </w:rPr>
              <w:t>加分</w:t>
            </w:r>
          </w:p>
        </w:tc>
        <w:tc>
          <w:tcPr>
            <w:tcW w:w="3830" w:type="dxa"/>
          </w:tcPr>
          <w:p>
            <w:pPr>
              <w:pStyle w:val="6"/>
              <w:spacing w:before="0" w:beforeAutospacing="0" w:after="156" w:afterLines="50" w:afterAutospacing="0"/>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restart"/>
            <w:vAlign w:val="center"/>
          </w:tcPr>
          <w:p>
            <w:pPr>
              <w:pStyle w:val="6"/>
              <w:spacing w:before="0" w:beforeAutospacing="0" w:after="156" w:afterLines="50" w:afterAutospacing="0"/>
              <w:jc w:val="center"/>
              <w:rPr>
                <w:rFonts w:ascii="仿宋" w:hAnsi="仿宋" w:eastAsia="仿宋" w:cs="Times New Roman"/>
                <w:color w:val="333333"/>
              </w:rPr>
            </w:pPr>
            <w:r>
              <w:rPr>
                <w:rFonts w:hint="eastAsia" w:ascii="仿宋" w:hAnsi="仿宋" w:eastAsia="仿宋" w:cs="仿宋"/>
                <w:color w:val="333333"/>
              </w:rPr>
              <w:t>国际组织</w:t>
            </w:r>
          </w:p>
          <w:p>
            <w:pPr>
              <w:pStyle w:val="6"/>
              <w:spacing w:before="0" w:beforeAutospacing="0" w:after="156" w:afterLines="50" w:afterAutospacing="0"/>
              <w:jc w:val="center"/>
              <w:rPr>
                <w:rFonts w:ascii="仿宋" w:hAnsi="仿宋" w:eastAsia="仿宋" w:cs="Times New Roman"/>
                <w:color w:val="333333"/>
              </w:rPr>
            </w:pPr>
            <w:r>
              <w:rPr>
                <w:rFonts w:hint="eastAsia" w:ascii="仿宋" w:hAnsi="仿宋" w:eastAsia="仿宋" w:cs="仿宋"/>
                <w:color w:val="333333"/>
              </w:rPr>
              <w:t>实习项目</w:t>
            </w: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1</w:t>
            </w:r>
            <w:r>
              <w:rPr>
                <w:rFonts w:hint="eastAsia" w:ascii="仿宋" w:hAnsi="仿宋" w:eastAsia="仿宋" w:cs="仿宋"/>
                <w:color w:val="333333"/>
              </w:rPr>
              <w:t>周</w:t>
            </w:r>
            <w:r>
              <w:rPr>
                <w:rFonts w:ascii="仿宋" w:hAnsi="仿宋" w:eastAsia="仿宋" w:cs="仿宋"/>
                <w:color w:val="333333"/>
              </w:rPr>
              <w:t>-2</w:t>
            </w:r>
            <w:r>
              <w:rPr>
                <w:rFonts w:hint="eastAsia" w:ascii="仿宋" w:hAnsi="仿宋" w:eastAsia="仿宋" w:cs="仿宋"/>
                <w:color w:val="333333"/>
              </w:rPr>
              <w:t>周</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2</w:t>
            </w:r>
          </w:p>
        </w:tc>
        <w:tc>
          <w:tcPr>
            <w:tcW w:w="3830" w:type="dxa"/>
            <w:vMerge w:val="restart"/>
          </w:tcPr>
          <w:p>
            <w:pPr>
              <w:pStyle w:val="6"/>
              <w:numPr>
                <w:ilvl w:val="0"/>
                <w:numId w:val="3"/>
              </w:numPr>
              <w:spacing w:before="0" w:beforeAutospacing="0" w:after="156" w:afterLines="50" w:afterAutospacing="0"/>
              <w:rPr>
                <w:rFonts w:ascii="仿宋" w:hAnsi="仿宋" w:eastAsia="仿宋" w:cs="Times New Roman"/>
                <w:color w:val="333333"/>
              </w:rPr>
            </w:pPr>
            <w:r>
              <w:rPr>
                <w:rFonts w:hint="eastAsia" w:ascii="仿宋" w:hAnsi="仿宋" w:eastAsia="仿宋" w:cs="仿宋"/>
                <w:color w:val="333333"/>
              </w:rPr>
              <w:t>国际组织包含但不限于联合国、太平洋协会、上海合作组织、国际奥委会等各类政府或非政府间组织，具体组织可参照教育部、人社部、国家留学网等官方网站，需提供相关组织证明</w:t>
            </w:r>
            <w:r>
              <w:rPr>
                <w:rFonts w:ascii="仿宋" w:hAnsi="仿宋" w:eastAsia="仿宋" w:cs="仿宋"/>
                <w:color w:val="333333"/>
              </w:rPr>
              <w:t>,</w:t>
            </w:r>
            <w:r>
              <w:rPr>
                <w:rFonts w:hint="eastAsia" w:ascii="仿宋" w:hAnsi="仿宋" w:eastAsia="仿宋" w:cs="仿宋"/>
                <w:color w:val="333333"/>
              </w:rPr>
              <w:t>时间可累积计算；</w:t>
            </w:r>
          </w:p>
          <w:p>
            <w:pPr>
              <w:pStyle w:val="6"/>
              <w:numPr>
                <w:ilvl w:val="0"/>
                <w:numId w:val="3"/>
              </w:numPr>
              <w:spacing w:before="0" w:beforeAutospacing="0" w:after="156" w:afterLines="50" w:afterAutospacing="0"/>
              <w:rPr>
                <w:rFonts w:ascii="仿宋" w:hAnsi="仿宋" w:eastAsia="仿宋" w:cs="仿宋"/>
                <w:color w:val="333333"/>
              </w:rPr>
            </w:pPr>
            <w:r>
              <w:rPr>
                <w:rFonts w:hint="eastAsia" w:ascii="仿宋" w:hAnsi="仿宋" w:eastAsia="仿宋" w:cs="仿宋"/>
                <w:color w:val="333333"/>
              </w:rPr>
              <w:t>具体查询网站有：</w:t>
            </w:r>
            <w:r>
              <w:rPr>
                <w:rFonts w:ascii="仿宋" w:hAnsi="仿宋" w:eastAsia="仿宋" w:cs="仿宋"/>
                <w:color w:val="333333"/>
              </w:rPr>
              <w:t>gj.ncss.org.cn/www.mohrss.gov.cn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6"/>
              <w:spacing w:before="0" w:beforeAutospacing="0" w:after="156" w:afterLines="50" w:afterAutospacing="0"/>
              <w:rPr>
                <w:rFonts w:ascii="仿宋" w:hAnsi="仿宋" w:eastAsia="仿宋" w:cs="Times New Roman"/>
                <w:color w:val="333333"/>
              </w:rPr>
            </w:pP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2</w:t>
            </w:r>
            <w:r>
              <w:rPr>
                <w:rFonts w:hint="eastAsia" w:ascii="仿宋" w:hAnsi="仿宋" w:eastAsia="仿宋" w:cs="仿宋"/>
                <w:color w:val="333333"/>
              </w:rPr>
              <w:t>周</w:t>
            </w:r>
            <w:r>
              <w:rPr>
                <w:rFonts w:ascii="仿宋" w:hAnsi="仿宋" w:eastAsia="仿宋" w:cs="仿宋"/>
                <w:color w:val="333333"/>
              </w:rPr>
              <w:t>-1</w:t>
            </w:r>
            <w:r>
              <w:rPr>
                <w:rFonts w:hint="eastAsia" w:ascii="仿宋" w:hAnsi="仿宋" w:eastAsia="仿宋" w:cs="仿宋"/>
                <w:color w:val="333333"/>
              </w:rPr>
              <w:t>个月</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3</w:t>
            </w:r>
          </w:p>
        </w:tc>
        <w:tc>
          <w:tcPr>
            <w:tcW w:w="3830" w:type="dxa"/>
            <w:vMerge w:val="continue"/>
          </w:tcPr>
          <w:p>
            <w:pPr>
              <w:pStyle w:val="6"/>
              <w:spacing w:before="0" w:beforeAutospacing="0" w:after="156" w:afterLines="5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6"/>
              <w:spacing w:before="0" w:beforeAutospacing="0" w:after="156" w:afterLines="50" w:afterAutospacing="0"/>
              <w:rPr>
                <w:rFonts w:ascii="仿宋" w:hAnsi="仿宋" w:eastAsia="仿宋" w:cs="Times New Roman"/>
                <w:color w:val="333333"/>
              </w:rPr>
            </w:pP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1-2</w:t>
            </w:r>
            <w:r>
              <w:rPr>
                <w:rFonts w:hint="eastAsia" w:ascii="仿宋" w:hAnsi="仿宋" w:eastAsia="仿宋" w:cs="仿宋"/>
                <w:color w:val="333333"/>
              </w:rPr>
              <w:t>个月</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4</w:t>
            </w:r>
          </w:p>
        </w:tc>
        <w:tc>
          <w:tcPr>
            <w:tcW w:w="3830" w:type="dxa"/>
            <w:vMerge w:val="continue"/>
          </w:tcPr>
          <w:p>
            <w:pPr>
              <w:pStyle w:val="6"/>
              <w:spacing w:before="0" w:beforeAutospacing="0" w:after="156" w:afterLines="5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6"/>
              <w:spacing w:before="0" w:beforeAutospacing="0" w:after="156" w:afterLines="50" w:afterAutospacing="0"/>
              <w:rPr>
                <w:rFonts w:ascii="仿宋" w:hAnsi="仿宋" w:eastAsia="仿宋" w:cs="Times New Roman"/>
                <w:color w:val="333333"/>
              </w:rPr>
            </w:pP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2-3</w:t>
            </w:r>
            <w:r>
              <w:rPr>
                <w:rFonts w:hint="eastAsia" w:ascii="仿宋" w:hAnsi="仿宋" w:eastAsia="仿宋" w:cs="仿宋"/>
                <w:color w:val="333333"/>
              </w:rPr>
              <w:t>个月</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5</w:t>
            </w:r>
          </w:p>
        </w:tc>
        <w:tc>
          <w:tcPr>
            <w:tcW w:w="3830" w:type="dxa"/>
            <w:vMerge w:val="continue"/>
          </w:tcPr>
          <w:p>
            <w:pPr>
              <w:pStyle w:val="6"/>
              <w:spacing w:before="0" w:beforeAutospacing="0" w:after="156" w:afterLines="5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6"/>
              <w:spacing w:before="0" w:beforeAutospacing="0" w:after="156" w:afterLines="50" w:afterAutospacing="0"/>
              <w:rPr>
                <w:rFonts w:ascii="仿宋" w:hAnsi="仿宋" w:eastAsia="仿宋" w:cs="Times New Roman"/>
                <w:color w:val="333333"/>
              </w:rPr>
            </w:pP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3-6</w:t>
            </w:r>
            <w:r>
              <w:rPr>
                <w:rFonts w:hint="eastAsia" w:ascii="仿宋" w:hAnsi="仿宋" w:eastAsia="仿宋" w:cs="仿宋"/>
                <w:color w:val="333333"/>
              </w:rPr>
              <w:t>个月</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7.5</w:t>
            </w:r>
          </w:p>
        </w:tc>
        <w:tc>
          <w:tcPr>
            <w:tcW w:w="3830" w:type="dxa"/>
            <w:vMerge w:val="continue"/>
          </w:tcPr>
          <w:p>
            <w:pPr>
              <w:pStyle w:val="6"/>
              <w:spacing w:before="0" w:beforeAutospacing="0" w:after="156" w:afterLines="5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vMerge w:val="continue"/>
          </w:tcPr>
          <w:p>
            <w:pPr>
              <w:pStyle w:val="6"/>
              <w:spacing w:before="0" w:beforeAutospacing="0" w:after="156" w:afterLines="50" w:afterAutospacing="0"/>
              <w:rPr>
                <w:rFonts w:ascii="仿宋" w:hAnsi="仿宋" w:eastAsia="仿宋" w:cs="Times New Roman"/>
                <w:color w:val="333333"/>
              </w:rPr>
            </w:pPr>
          </w:p>
        </w:tc>
        <w:tc>
          <w:tcPr>
            <w:tcW w:w="2522" w:type="dxa"/>
          </w:tcPr>
          <w:p>
            <w:pPr>
              <w:pStyle w:val="6"/>
              <w:spacing w:before="0" w:beforeAutospacing="0" w:after="156" w:afterLines="50" w:afterAutospacing="0"/>
              <w:rPr>
                <w:rFonts w:ascii="仿宋" w:hAnsi="仿宋" w:eastAsia="仿宋" w:cs="Times New Roman"/>
                <w:color w:val="333333"/>
              </w:rPr>
            </w:pPr>
            <w:r>
              <w:rPr>
                <w:rFonts w:ascii="仿宋" w:hAnsi="仿宋" w:eastAsia="仿宋" w:cs="仿宋"/>
                <w:color w:val="333333"/>
              </w:rPr>
              <w:t>6-12</w:t>
            </w:r>
            <w:r>
              <w:rPr>
                <w:rFonts w:hint="eastAsia" w:ascii="仿宋" w:hAnsi="仿宋" w:eastAsia="仿宋" w:cs="仿宋"/>
                <w:color w:val="333333"/>
              </w:rPr>
              <w:t>个月</w:t>
            </w:r>
          </w:p>
        </w:tc>
        <w:tc>
          <w:tcPr>
            <w:tcW w:w="1444" w:type="dxa"/>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10</w:t>
            </w:r>
          </w:p>
        </w:tc>
        <w:tc>
          <w:tcPr>
            <w:tcW w:w="3830" w:type="dxa"/>
            <w:vMerge w:val="continue"/>
          </w:tcPr>
          <w:p>
            <w:pPr>
              <w:pStyle w:val="6"/>
              <w:spacing w:before="0" w:beforeAutospacing="0" w:after="156" w:afterLines="50" w:afterAutospacing="0"/>
              <w:rPr>
                <w:rFonts w:ascii="仿宋" w:hAnsi="仿宋" w:eastAsia="仿宋" w:cs="Times New Roman"/>
                <w:color w:val="333333"/>
              </w:rPr>
            </w:pPr>
          </w:p>
        </w:tc>
      </w:tr>
    </w:tbl>
    <w:p>
      <w:pPr>
        <w:pStyle w:val="6"/>
        <w:numPr>
          <w:ilvl w:val="0"/>
          <w:numId w:val="1"/>
        </w:numPr>
        <w:spacing w:before="0" w:beforeAutospacing="0" w:after="156" w:afterLines="50" w:afterAutospacing="0"/>
        <w:ind w:left="599" w:hanging="599" w:hangingChars="213"/>
        <w:rPr>
          <w:rFonts w:cs="Times New Roman"/>
          <w:b/>
          <w:bCs/>
          <w:color w:val="333333"/>
          <w:sz w:val="28"/>
          <w:szCs w:val="28"/>
        </w:rPr>
      </w:pPr>
      <w:r>
        <w:rPr>
          <w:rFonts w:hint="eastAsia"/>
          <w:b/>
          <w:bCs/>
          <w:color w:val="333333"/>
          <w:sz w:val="28"/>
          <w:szCs w:val="28"/>
        </w:rPr>
        <w:t>科研成果（最高</w:t>
      </w:r>
      <w:r>
        <w:rPr>
          <w:b/>
          <w:bCs/>
          <w:color w:val="333333"/>
          <w:sz w:val="28"/>
          <w:szCs w:val="28"/>
        </w:rPr>
        <w:t>30</w:t>
      </w:r>
      <w:r>
        <w:rPr>
          <w:rFonts w:hint="eastAsia"/>
          <w:b/>
          <w:bCs/>
          <w:color w:val="333333"/>
          <w:sz w:val="28"/>
          <w:szCs w:val="28"/>
        </w:rPr>
        <w:t>分）</w:t>
      </w:r>
    </w:p>
    <w:tbl>
      <w:tblPr>
        <w:tblStyle w:val="9"/>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75"/>
        <w:gridCol w:w="993"/>
        <w:gridCol w:w="1134"/>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1275"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级别</w:t>
            </w:r>
          </w:p>
        </w:tc>
        <w:tc>
          <w:tcPr>
            <w:tcW w:w="993"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名次</w:t>
            </w:r>
          </w:p>
        </w:tc>
        <w:tc>
          <w:tcPr>
            <w:tcW w:w="1134"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得分</w:t>
            </w:r>
          </w:p>
        </w:tc>
        <w:tc>
          <w:tcPr>
            <w:tcW w:w="4394"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vAlign w:val="center"/>
          </w:tcPr>
          <w:p>
            <w:pPr>
              <w:widowControl/>
              <w:shd w:val="clear" w:color="auto" w:fill="FFFFFF"/>
              <w:jc w:val="center"/>
              <w:rPr>
                <w:rFonts w:ascii="仿宋" w:hAnsi="仿宋" w:eastAsia="仿宋" w:cs="Times New Roman"/>
                <w:color w:val="333333"/>
                <w:kern w:val="0"/>
                <w:sz w:val="24"/>
                <w:szCs w:val="24"/>
              </w:rPr>
            </w:pPr>
            <w:r>
              <w:rPr>
                <w:rFonts w:hint="eastAsia" w:ascii="仿宋" w:hAnsi="仿宋" w:eastAsia="仿宋" w:cs="仿宋"/>
                <w:color w:val="333333"/>
                <w:kern w:val="0"/>
                <w:sz w:val="24"/>
                <w:szCs w:val="24"/>
              </w:rPr>
              <w:t>大学生</w:t>
            </w:r>
          </w:p>
          <w:p>
            <w:pPr>
              <w:widowControl/>
              <w:shd w:val="clear" w:color="auto" w:fill="FFFFFF"/>
              <w:jc w:val="center"/>
              <w:rPr>
                <w:rFonts w:ascii="仿宋" w:hAnsi="仿宋" w:eastAsia="仿宋" w:cs="Times New Roman"/>
                <w:color w:val="333333"/>
                <w:kern w:val="0"/>
                <w:sz w:val="24"/>
                <w:szCs w:val="24"/>
              </w:rPr>
            </w:pPr>
            <w:r>
              <w:rPr>
                <w:rFonts w:hint="eastAsia" w:ascii="仿宋" w:hAnsi="仿宋" w:eastAsia="仿宋" w:cs="仿宋"/>
                <w:color w:val="333333"/>
                <w:kern w:val="0"/>
                <w:sz w:val="24"/>
                <w:szCs w:val="24"/>
              </w:rPr>
              <w:t>创新创业</w:t>
            </w:r>
          </w:p>
          <w:p>
            <w:pPr>
              <w:widowControl/>
              <w:shd w:val="clear" w:color="auto" w:fill="FFFFFF"/>
              <w:jc w:val="center"/>
              <w:rPr>
                <w:rFonts w:ascii="仿宋" w:hAnsi="仿宋" w:eastAsia="仿宋" w:cs="Times New Roman"/>
                <w:color w:val="333333"/>
                <w:kern w:val="0"/>
                <w:sz w:val="24"/>
                <w:szCs w:val="24"/>
              </w:rPr>
            </w:pPr>
            <w:r>
              <w:rPr>
                <w:rFonts w:hint="eastAsia" w:ascii="仿宋" w:hAnsi="仿宋" w:eastAsia="仿宋" w:cs="仿宋"/>
                <w:color w:val="333333"/>
                <w:kern w:val="0"/>
                <w:sz w:val="24"/>
                <w:szCs w:val="24"/>
              </w:rPr>
              <w:t>训练计划</w:t>
            </w:r>
          </w:p>
        </w:tc>
        <w:tc>
          <w:tcPr>
            <w:tcW w:w="1275"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重点</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25</w:t>
            </w:r>
          </w:p>
        </w:tc>
        <w:tc>
          <w:tcPr>
            <w:tcW w:w="4394" w:type="dxa"/>
            <w:vMerge w:val="restart"/>
            <w:vAlign w:val="center"/>
          </w:tcPr>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得分不累加，科研成果类取单项最高分；</w:t>
            </w:r>
          </w:p>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各类科研项目需提供结题或中期检查合格的证书或发文，相关公开发表学术成果需提供杂志或期刊原件及完整复印件，</w:t>
            </w:r>
            <w:r>
              <w:rPr>
                <w:rFonts w:hint="eastAsia" w:ascii="仿宋" w:hAnsi="仿宋" w:eastAsia="仿宋" w:cs="仿宋"/>
                <w:b/>
                <w:bCs/>
                <w:color w:val="333333"/>
                <w:sz w:val="21"/>
                <w:szCs w:val="21"/>
                <w:u w:val="single"/>
              </w:rPr>
              <w:t>无支撑材料者一律不予认可；</w:t>
            </w:r>
          </w:p>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莙政基金的校级代表指获得校级项目立项并结项获得“莙政学者”称号，校际代表指获得其他高校校际交流机会的“莙政学者”；</w:t>
            </w:r>
          </w:p>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公开发表学术成果，一律只认可第一作者，如是二作不予加分。省级以上非核心刊物只以最优秀一篇认定加分，不重复加分；</w:t>
            </w:r>
          </w:p>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文学作品包括各类在正式期刊上发表的小说、诗歌及其他体裁作品，需在发表时标明“苏州大学文学院”，如没有标明单位，需提供用稿通知或稿费收据作为证明；</w:t>
            </w:r>
          </w:p>
          <w:p>
            <w:pPr>
              <w:pStyle w:val="6"/>
              <w:numPr>
                <w:ilvl w:val="0"/>
                <w:numId w:val="4"/>
              </w:numPr>
              <w:spacing w:before="0" w:beforeAutospacing="0" w:after="0" w:afterAutospacing="0"/>
              <w:rPr>
                <w:rFonts w:ascii="仿宋" w:hAnsi="仿宋" w:eastAsia="仿宋" w:cs="Times New Roman"/>
                <w:color w:val="333333"/>
                <w:sz w:val="21"/>
                <w:szCs w:val="21"/>
              </w:rPr>
            </w:pPr>
            <w:r>
              <w:rPr>
                <w:rFonts w:hint="eastAsia" w:ascii="仿宋" w:hAnsi="仿宋" w:eastAsia="仿宋" w:cs="仿宋"/>
                <w:color w:val="333333"/>
                <w:sz w:val="21"/>
                <w:szCs w:val="21"/>
              </w:rPr>
              <w:t>公开发表学术成果、文学作品等需经专家小组认定符合学术要求，酌情加分；</w:t>
            </w:r>
          </w:p>
          <w:p>
            <w:pPr>
              <w:pStyle w:val="6"/>
              <w:numPr>
                <w:ilvl w:val="0"/>
                <w:numId w:val="4"/>
              </w:numPr>
              <w:spacing w:before="0" w:beforeAutospacing="0" w:after="0" w:afterAutospacing="0"/>
              <w:rPr>
                <w:rFonts w:ascii="仿宋" w:hAnsi="仿宋" w:eastAsia="仿宋" w:cs="Times New Roman"/>
                <w:color w:val="333333"/>
              </w:rPr>
            </w:pPr>
            <w:r>
              <w:rPr>
                <w:rFonts w:hint="eastAsia" w:ascii="仿宋" w:hAnsi="仿宋" w:eastAsia="仿宋" w:cs="仿宋"/>
                <w:color w:val="333333"/>
                <w:sz w:val="21"/>
                <w:szCs w:val="21"/>
              </w:rPr>
              <w:t>如有其他不在列与学科相关的科研成果也可提交，经由专家组认定后，酌情加分</w:t>
            </w:r>
            <w:r>
              <w:rPr>
                <w:rFonts w:hint="eastAsia" w:ascii="仿宋" w:hAnsi="仿宋" w:eastAsia="仿宋" w:cs="仿宋"/>
                <w:color w:val="33333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hd w:val="clear" w:color="auto" w:fill="FFFFFF"/>
              <w:jc w:val="center"/>
              <w:rPr>
                <w:rFonts w:ascii="仿宋" w:hAnsi="仿宋" w:eastAsia="仿宋" w:cs="Times New Roman"/>
                <w:color w:val="333333"/>
                <w:kern w:val="0"/>
                <w:sz w:val="24"/>
                <w:szCs w:val="24"/>
              </w:rPr>
            </w:pPr>
          </w:p>
        </w:tc>
        <w:tc>
          <w:tcPr>
            <w:tcW w:w="1275"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一般</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hd w:val="clear" w:color="auto" w:fill="FFFFFF"/>
              <w:jc w:val="center"/>
              <w:rPr>
                <w:rFonts w:ascii="仿宋" w:hAnsi="仿宋" w:eastAsia="仿宋" w:cs="Times New Roman"/>
                <w:color w:val="333333"/>
                <w:kern w:val="0"/>
                <w:sz w:val="24"/>
                <w:szCs w:val="24"/>
              </w:rPr>
            </w:pPr>
          </w:p>
        </w:tc>
        <w:tc>
          <w:tcPr>
            <w:tcW w:w="1275"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重点</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17.5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hd w:val="clear" w:color="auto" w:fill="FFFFFF"/>
              <w:jc w:val="center"/>
              <w:rPr>
                <w:rFonts w:ascii="仿宋" w:hAnsi="仿宋" w:eastAsia="仿宋" w:cs="Times New Roman"/>
                <w:color w:val="333333"/>
                <w:kern w:val="0"/>
                <w:sz w:val="24"/>
                <w:szCs w:val="24"/>
              </w:rPr>
            </w:pPr>
          </w:p>
        </w:tc>
        <w:tc>
          <w:tcPr>
            <w:tcW w:w="1275"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一般</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12.5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widowControl/>
              <w:shd w:val="clear" w:color="auto" w:fill="FFFFFF"/>
              <w:jc w:val="center"/>
              <w:rPr>
                <w:rFonts w:ascii="仿宋" w:hAnsi="仿宋" w:eastAsia="仿宋" w:cs="Times New Roman"/>
                <w:color w:val="333333"/>
                <w:kern w:val="0"/>
                <w:sz w:val="24"/>
                <w:szCs w:val="24"/>
              </w:rPr>
            </w:pP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院级</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莙政基金</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项目</w:t>
            </w: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校际代表</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000000"/>
              </w:rPr>
            </w:pPr>
            <w:r>
              <w:rPr>
                <w:rFonts w:ascii="仿宋" w:hAnsi="仿宋" w:eastAsia="仿宋" w:cs="仿宋"/>
                <w:color w:val="000000"/>
              </w:rPr>
              <w:t>20</w:t>
            </w:r>
          </w:p>
        </w:tc>
        <w:tc>
          <w:tcPr>
            <w:tcW w:w="4394" w:type="dxa"/>
            <w:vMerge w:val="continue"/>
            <w:vAlign w:val="center"/>
          </w:tcPr>
          <w:p>
            <w:pPr>
              <w:pStyle w:val="6"/>
              <w:spacing w:before="0" w:beforeAutospacing="0" w:after="0" w:afterAutospacing="0"/>
              <w:jc w:val="center"/>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校级代表</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000000"/>
              </w:rPr>
            </w:pPr>
            <w:r>
              <w:rPr>
                <w:rFonts w:ascii="仿宋" w:hAnsi="仿宋" w:eastAsia="仿宋" w:cs="仿宋"/>
                <w:color w:val="000000"/>
              </w:rPr>
              <w:t>15</w:t>
            </w:r>
          </w:p>
        </w:tc>
        <w:tc>
          <w:tcPr>
            <w:tcW w:w="4394" w:type="dxa"/>
            <w:vMerge w:val="continue"/>
            <w:vAlign w:val="center"/>
          </w:tcPr>
          <w:p>
            <w:pPr>
              <w:pStyle w:val="6"/>
              <w:spacing w:before="0" w:beforeAutospacing="0" w:after="0" w:afterAutospacing="0"/>
              <w:jc w:val="center"/>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大学生</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课外学术</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科研基金</w:t>
            </w:r>
          </w:p>
        </w:tc>
        <w:tc>
          <w:tcPr>
            <w:tcW w:w="1275"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重点</w:t>
            </w:r>
          </w:p>
        </w:tc>
        <w:tc>
          <w:tcPr>
            <w:tcW w:w="1134" w:type="dxa"/>
            <w:vAlign w:val="center"/>
          </w:tcPr>
          <w:p>
            <w:pPr>
              <w:pStyle w:val="6"/>
              <w:spacing w:before="0" w:beforeAutospacing="0" w:after="0" w:afterAutospacing="0"/>
              <w:jc w:val="center"/>
              <w:rPr>
                <w:rFonts w:ascii="仿宋" w:hAnsi="仿宋" w:eastAsia="仿宋" w:cs="仿宋"/>
                <w:color w:val="000000"/>
              </w:rPr>
            </w:pPr>
            <w:r>
              <w:rPr>
                <w:rFonts w:ascii="仿宋" w:hAnsi="仿宋" w:eastAsia="仿宋" w:cs="仿宋"/>
                <w:color w:val="000000"/>
              </w:rPr>
              <w:t>8</w:t>
            </w:r>
          </w:p>
        </w:tc>
        <w:tc>
          <w:tcPr>
            <w:tcW w:w="4394" w:type="dxa"/>
            <w:vMerge w:val="continue"/>
            <w:vAlign w:val="center"/>
          </w:tcPr>
          <w:p>
            <w:pPr>
              <w:pStyle w:val="6"/>
              <w:spacing w:before="0" w:beforeAutospacing="0" w:after="0" w:afterAutospacing="0"/>
              <w:jc w:val="center"/>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275"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993"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一般</w:t>
            </w:r>
          </w:p>
        </w:tc>
        <w:tc>
          <w:tcPr>
            <w:tcW w:w="1134" w:type="dxa"/>
            <w:vAlign w:val="center"/>
          </w:tcPr>
          <w:p>
            <w:pPr>
              <w:pStyle w:val="6"/>
              <w:spacing w:before="0" w:beforeAutospacing="0" w:after="0" w:afterAutospacing="0"/>
              <w:jc w:val="center"/>
              <w:rPr>
                <w:rFonts w:ascii="仿宋" w:hAnsi="仿宋" w:eastAsia="仿宋" w:cs="仿宋"/>
                <w:color w:val="000000"/>
              </w:rPr>
            </w:pPr>
            <w:r>
              <w:rPr>
                <w:rFonts w:ascii="仿宋" w:hAnsi="仿宋" w:eastAsia="仿宋" w:cs="仿宋"/>
                <w:color w:val="000000"/>
              </w:rPr>
              <w:t>2</w:t>
            </w:r>
          </w:p>
        </w:tc>
        <w:tc>
          <w:tcPr>
            <w:tcW w:w="4394" w:type="dxa"/>
            <w:vMerge w:val="continue"/>
            <w:vAlign w:val="center"/>
          </w:tcPr>
          <w:p>
            <w:pPr>
              <w:pStyle w:val="6"/>
              <w:spacing w:before="0" w:beforeAutospacing="0" w:after="0" w:afterAutospacing="0"/>
              <w:jc w:val="center"/>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公开发表</w:t>
            </w:r>
          </w:p>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学术成果</w:t>
            </w:r>
          </w:p>
        </w:tc>
        <w:tc>
          <w:tcPr>
            <w:tcW w:w="1275" w:type="dxa"/>
            <w:vAlign w:val="center"/>
          </w:tcPr>
          <w:p>
            <w:pPr>
              <w:pStyle w:val="6"/>
              <w:spacing w:before="0" w:beforeAutospacing="0" w:after="0" w:afterAutospacing="0"/>
              <w:jc w:val="center"/>
              <w:rPr>
                <w:rFonts w:ascii="仿宋" w:hAnsi="仿宋" w:eastAsia="仿宋" w:cs="仿宋"/>
                <w:color w:val="333333"/>
              </w:rPr>
            </w:pPr>
            <w:r>
              <w:rPr>
                <w:rFonts w:hint="eastAsia" w:ascii="仿宋" w:hAnsi="仿宋" w:eastAsia="仿宋" w:cs="仿宋"/>
                <w:color w:val="333333"/>
              </w:rPr>
              <w:t>核心期刊、</w:t>
            </w:r>
            <w:r>
              <w:rPr>
                <w:rFonts w:ascii="仿宋" w:hAnsi="仿宋" w:eastAsia="仿宋" w:cs="仿宋"/>
                <w:color w:val="333333"/>
              </w:rPr>
              <w:t>SCI</w:t>
            </w:r>
            <w:r>
              <w:rPr>
                <w:rFonts w:hint="eastAsia" w:ascii="仿宋" w:hAnsi="仿宋" w:eastAsia="仿宋" w:cs="仿宋"/>
                <w:color w:val="333333"/>
              </w:rPr>
              <w:t>、</w:t>
            </w:r>
            <w:r>
              <w:rPr>
                <w:rFonts w:ascii="仿宋" w:hAnsi="仿宋" w:eastAsia="仿宋" w:cs="仿宋"/>
                <w:color w:val="333333"/>
              </w:rPr>
              <w:t>EI</w:t>
            </w:r>
            <w:r>
              <w:rPr>
                <w:rFonts w:hint="eastAsia" w:ascii="仿宋" w:hAnsi="仿宋" w:eastAsia="仿宋" w:cs="仿宋"/>
                <w:color w:val="333333"/>
              </w:rPr>
              <w:t>、</w:t>
            </w:r>
            <w:r>
              <w:rPr>
                <w:rFonts w:ascii="仿宋" w:hAnsi="仿宋" w:eastAsia="仿宋" w:cs="仿宋"/>
                <w:color w:val="333333"/>
              </w:rPr>
              <w:t>SSCI</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25-30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省级以上非核心刊物</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10-15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学术会议收录、学术论文集</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10-15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60"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文学作品</w:t>
            </w:r>
          </w:p>
        </w:tc>
        <w:tc>
          <w:tcPr>
            <w:tcW w:w="1275"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正式期刊</w:t>
            </w:r>
          </w:p>
        </w:tc>
        <w:tc>
          <w:tcPr>
            <w:tcW w:w="993"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w:t>
            </w:r>
          </w:p>
        </w:tc>
        <w:tc>
          <w:tcPr>
            <w:tcW w:w="1134"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10-20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bl>
    <w:p>
      <w:pPr>
        <w:pStyle w:val="6"/>
        <w:spacing w:before="0" w:beforeAutospacing="0" w:after="0" w:afterAutospacing="0"/>
        <w:ind w:left="450"/>
        <w:rPr>
          <w:rFonts w:cs="Times New Roman"/>
          <w:b/>
          <w:bCs/>
          <w:color w:val="333333"/>
          <w:sz w:val="28"/>
          <w:szCs w:val="28"/>
        </w:rPr>
      </w:pPr>
    </w:p>
    <w:p>
      <w:pPr>
        <w:pStyle w:val="6"/>
        <w:numPr>
          <w:ilvl w:val="0"/>
          <w:numId w:val="1"/>
        </w:numPr>
        <w:spacing w:before="0" w:beforeAutospacing="0" w:after="0" w:afterAutospacing="0"/>
        <w:rPr>
          <w:rFonts w:cs="Times New Roman"/>
          <w:b/>
          <w:bCs/>
          <w:color w:val="333333"/>
          <w:sz w:val="28"/>
          <w:szCs w:val="28"/>
        </w:rPr>
      </w:pPr>
      <w:r>
        <w:rPr>
          <w:rFonts w:hint="eastAsia"/>
          <w:b/>
          <w:bCs/>
          <w:color w:val="333333"/>
          <w:sz w:val="28"/>
          <w:szCs w:val="28"/>
        </w:rPr>
        <w:t>学科竞赛（最高</w:t>
      </w:r>
      <w:r>
        <w:rPr>
          <w:b/>
          <w:bCs/>
          <w:color w:val="333333"/>
          <w:sz w:val="28"/>
          <w:szCs w:val="28"/>
        </w:rPr>
        <w:t>30</w:t>
      </w:r>
      <w:r>
        <w:rPr>
          <w:rFonts w:hint="eastAsia"/>
          <w:b/>
          <w:bCs/>
          <w:color w:val="333333"/>
          <w:sz w:val="28"/>
          <w:szCs w:val="28"/>
        </w:rPr>
        <w:t>分）</w:t>
      </w:r>
    </w:p>
    <w:tbl>
      <w:tblPr>
        <w:tblStyle w:val="9"/>
        <w:tblW w:w="93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624"/>
        <w:gridCol w:w="2051"/>
        <w:gridCol w:w="56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0"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624"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级别</w:t>
            </w:r>
          </w:p>
        </w:tc>
        <w:tc>
          <w:tcPr>
            <w:tcW w:w="2051"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名次</w:t>
            </w:r>
          </w:p>
        </w:tc>
        <w:tc>
          <w:tcPr>
            <w:tcW w:w="567"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总分</w:t>
            </w:r>
          </w:p>
        </w:tc>
        <w:tc>
          <w:tcPr>
            <w:tcW w:w="4394" w:type="dxa"/>
            <w:vAlign w:val="center"/>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“三大赛”（挑战杯、互联网</w:t>
            </w:r>
            <w:r>
              <w:rPr>
                <w:rFonts w:ascii="仿宋" w:hAnsi="仿宋" w:eastAsia="仿宋" w:cs="仿宋"/>
                <w:color w:val="333333"/>
              </w:rPr>
              <w:t>+</w:t>
            </w:r>
            <w:r>
              <w:rPr>
                <w:rFonts w:hint="eastAsia" w:ascii="仿宋" w:hAnsi="仿宋" w:eastAsia="仿宋" w:cs="仿宋"/>
                <w:color w:val="333333"/>
              </w:rPr>
              <w:t>、创青春）</w:t>
            </w: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30</w:t>
            </w:r>
          </w:p>
        </w:tc>
        <w:tc>
          <w:tcPr>
            <w:tcW w:w="4394" w:type="dxa"/>
            <w:vMerge w:val="restart"/>
            <w:vAlign w:val="center"/>
          </w:tcPr>
          <w:p>
            <w:pPr>
              <w:pStyle w:val="19"/>
              <w:numPr>
                <w:ilvl w:val="0"/>
                <w:numId w:val="5"/>
              </w:numPr>
              <w:ind w:firstLineChars="0"/>
              <w:rPr>
                <w:rFonts w:ascii="仿宋" w:hAnsi="仿宋" w:eastAsia="仿宋" w:cs="Times New Roman"/>
                <w:color w:val="333333"/>
                <w:kern w:val="0"/>
                <w:sz w:val="22"/>
              </w:rPr>
            </w:pPr>
            <w:r>
              <w:rPr>
                <w:rFonts w:hint="eastAsia" w:ascii="仿宋" w:hAnsi="仿宋" w:eastAsia="仿宋" w:cs="仿宋"/>
                <w:color w:val="333333"/>
              </w:rPr>
              <w:t>得分不累加，学科竞赛类取单项最高分</w:t>
            </w:r>
            <w:r>
              <w:rPr>
                <w:rFonts w:hint="eastAsia" w:ascii="仿宋" w:hAnsi="仿宋" w:eastAsia="仿宋" w:cs="仿宋"/>
                <w:color w:val="333333"/>
                <w:kern w:val="0"/>
                <w:sz w:val="22"/>
                <w:szCs w:val="22"/>
              </w:rPr>
              <w:t>；</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国家级学科竞赛是指教育部等中央政府部门或教育部教学指导委员会或国家一级学会</w:t>
            </w:r>
            <w:r>
              <w:rPr>
                <w:rFonts w:ascii="仿宋" w:hAnsi="仿宋" w:eastAsia="仿宋" w:cs="仿宋"/>
                <w:color w:val="333333"/>
                <w:sz w:val="22"/>
                <w:szCs w:val="22"/>
              </w:rPr>
              <w:t>[</w:t>
            </w:r>
            <w:r>
              <w:rPr>
                <w:rFonts w:hint="eastAsia" w:ascii="仿宋" w:hAnsi="仿宋" w:eastAsia="仿宋" w:cs="仿宋"/>
                <w:color w:val="333333"/>
                <w:sz w:val="22"/>
                <w:szCs w:val="22"/>
              </w:rPr>
              <w:t>协会</w:t>
            </w:r>
            <w:r>
              <w:rPr>
                <w:rFonts w:ascii="仿宋" w:hAnsi="仿宋" w:eastAsia="仿宋" w:cs="仿宋"/>
                <w:color w:val="333333"/>
                <w:sz w:val="22"/>
                <w:szCs w:val="22"/>
              </w:rPr>
              <w:t>]</w:t>
            </w:r>
            <w:r>
              <w:rPr>
                <w:rFonts w:hint="eastAsia" w:ascii="仿宋" w:hAnsi="仿宋" w:eastAsia="仿宋" w:cs="仿宋"/>
                <w:color w:val="333333"/>
                <w:sz w:val="22"/>
                <w:szCs w:val="22"/>
              </w:rPr>
              <w:t>组织的学科竞赛；</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省部级学科竞赛是指省教育厅等省政府部门或教育部内设司局机构或国家二级学会</w:t>
            </w:r>
            <w:r>
              <w:rPr>
                <w:rFonts w:ascii="仿宋" w:hAnsi="仿宋" w:eastAsia="仿宋" w:cs="仿宋"/>
                <w:color w:val="333333"/>
                <w:sz w:val="22"/>
                <w:szCs w:val="22"/>
              </w:rPr>
              <w:t>[</w:t>
            </w:r>
            <w:r>
              <w:rPr>
                <w:rFonts w:hint="eastAsia" w:ascii="仿宋" w:hAnsi="仿宋" w:eastAsia="仿宋" w:cs="仿宋"/>
                <w:color w:val="333333"/>
                <w:sz w:val="22"/>
                <w:szCs w:val="22"/>
              </w:rPr>
              <w:t>协会</w:t>
            </w:r>
            <w:r>
              <w:rPr>
                <w:rFonts w:ascii="仿宋" w:hAnsi="仿宋" w:eastAsia="仿宋" w:cs="仿宋"/>
                <w:color w:val="333333"/>
                <w:sz w:val="22"/>
                <w:szCs w:val="22"/>
              </w:rPr>
              <w:t>]</w:t>
            </w:r>
            <w:r>
              <w:rPr>
                <w:rFonts w:hint="eastAsia" w:ascii="仿宋" w:hAnsi="仿宋" w:eastAsia="仿宋" w:cs="仿宋"/>
                <w:color w:val="333333"/>
                <w:sz w:val="22"/>
                <w:szCs w:val="22"/>
              </w:rPr>
              <w:t>或江苏省一级学会</w:t>
            </w:r>
            <w:r>
              <w:rPr>
                <w:rFonts w:ascii="仿宋" w:hAnsi="仿宋" w:eastAsia="仿宋" w:cs="仿宋"/>
                <w:color w:val="333333"/>
                <w:sz w:val="22"/>
                <w:szCs w:val="22"/>
              </w:rPr>
              <w:t>[</w:t>
            </w:r>
            <w:r>
              <w:rPr>
                <w:rFonts w:hint="eastAsia" w:ascii="仿宋" w:hAnsi="仿宋" w:eastAsia="仿宋" w:cs="仿宋"/>
                <w:color w:val="333333"/>
                <w:sz w:val="22"/>
                <w:szCs w:val="22"/>
              </w:rPr>
              <w:t>协会</w:t>
            </w:r>
            <w:r>
              <w:rPr>
                <w:rFonts w:ascii="仿宋" w:hAnsi="仿宋" w:eastAsia="仿宋" w:cs="仿宋"/>
                <w:color w:val="333333"/>
                <w:sz w:val="22"/>
                <w:szCs w:val="22"/>
              </w:rPr>
              <w:t>]</w:t>
            </w:r>
            <w:r>
              <w:rPr>
                <w:rFonts w:hint="eastAsia" w:ascii="仿宋" w:hAnsi="仿宋" w:eastAsia="仿宋" w:cs="仿宋"/>
                <w:color w:val="333333"/>
                <w:sz w:val="22"/>
                <w:szCs w:val="22"/>
              </w:rPr>
              <w:t>组织的学科竞赛；</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校级学科竞赛是指由学校教务部、校团委、学生处及相关校级机关部门组织学科竞赛；</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各类学科竞赛包含但不限于文科生数学竞赛、计算机竞赛、建模大赛、外研社英语竞赛，各类学科竞赛获奖需经过专家组认定方可加分；</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核心专业技能竞赛包含但不限于师范生基本功比赛（省级等同于国家级比赛）、秘书学职业技能大赛、汉语国际教育职业技能大赛，竞赛获奖需经过专家组认定方可加分；</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所列加分为该项所得</w:t>
            </w:r>
            <w:r>
              <w:rPr>
                <w:rFonts w:hint="eastAsia" w:ascii="仿宋" w:hAnsi="仿宋" w:eastAsia="仿宋" w:cs="仿宋"/>
                <w:b/>
                <w:bCs/>
                <w:color w:val="333333"/>
                <w:sz w:val="22"/>
                <w:szCs w:val="22"/>
              </w:rPr>
              <w:t>总分</w:t>
            </w:r>
            <w:r>
              <w:rPr>
                <w:rFonts w:hint="eastAsia" w:ascii="仿宋" w:hAnsi="仿宋" w:eastAsia="仿宋" w:cs="仿宋"/>
                <w:color w:val="333333"/>
                <w:sz w:val="22"/>
                <w:szCs w:val="22"/>
              </w:rPr>
              <w:t>，如奖项为单人获得，则由个人全部获得，如是团队参与获奖，则由该团队成员共同获得，具体比例为：团队共</w:t>
            </w:r>
            <w:r>
              <w:rPr>
                <w:rFonts w:ascii="仿宋" w:hAnsi="仿宋" w:eastAsia="仿宋" w:cs="仿宋"/>
                <w:color w:val="333333"/>
                <w:sz w:val="22"/>
                <w:szCs w:val="22"/>
              </w:rPr>
              <w:t>2</w:t>
            </w:r>
            <w:r>
              <w:rPr>
                <w:rFonts w:hint="eastAsia" w:ascii="仿宋" w:hAnsi="仿宋" w:eastAsia="仿宋" w:cs="仿宋"/>
                <w:color w:val="333333"/>
                <w:sz w:val="22"/>
                <w:szCs w:val="22"/>
              </w:rPr>
              <w:t>人（</w:t>
            </w:r>
            <w:r>
              <w:rPr>
                <w:rFonts w:ascii="仿宋" w:hAnsi="仿宋" w:eastAsia="仿宋" w:cs="仿宋"/>
                <w:color w:val="333333"/>
                <w:sz w:val="22"/>
                <w:szCs w:val="22"/>
              </w:rPr>
              <w:t>70%+30%</w:t>
            </w:r>
            <w:r>
              <w:rPr>
                <w:rFonts w:hint="eastAsia" w:ascii="仿宋" w:hAnsi="仿宋" w:eastAsia="仿宋" w:cs="仿宋"/>
                <w:color w:val="333333"/>
                <w:sz w:val="22"/>
                <w:szCs w:val="22"/>
              </w:rPr>
              <w:t>）、团队共</w:t>
            </w:r>
            <w:r>
              <w:rPr>
                <w:rFonts w:ascii="仿宋" w:hAnsi="仿宋" w:eastAsia="仿宋" w:cs="仿宋"/>
                <w:color w:val="333333"/>
                <w:sz w:val="22"/>
                <w:szCs w:val="22"/>
              </w:rPr>
              <w:t>3</w:t>
            </w:r>
            <w:r>
              <w:rPr>
                <w:rFonts w:hint="eastAsia" w:ascii="仿宋" w:hAnsi="仿宋" w:eastAsia="仿宋" w:cs="仿宋"/>
                <w:color w:val="333333"/>
                <w:sz w:val="22"/>
                <w:szCs w:val="22"/>
              </w:rPr>
              <w:t>人（</w:t>
            </w:r>
            <w:r>
              <w:rPr>
                <w:rFonts w:ascii="仿宋" w:hAnsi="仿宋" w:eastAsia="仿宋" w:cs="仿宋"/>
                <w:color w:val="333333"/>
                <w:sz w:val="22"/>
                <w:szCs w:val="22"/>
              </w:rPr>
              <w:t>60%+20%+20%</w:t>
            </w:r>
            <w:r>
              <w:rPr>
                <w:rFonts w:hint="eastAsia" w:ascii="仿宋" w:hAnsi="仿宋" w:eastAsia="仿宋" w:cs="仿宋"/>
                <w:color w:val="333333"/>
                <w:sz w:val="22"/>
                <w:szCs w:val="22"/>
              </w:rPr>
              <w:t>）、团队共</w:t>
            </w:r>
            <w:r>
              <w:rPr>
                <w:rFonts w:ascii="仿宋" w:hAnsi="仿宋" w:eastAsia="仿宋" w:cs="仿宋"/>
                <w:color w:val="333333"/>
                <w:sz w:val="22"/>
                <w:szCs w:val="22"/>
              </w:rPr>
              <w:t>4</w:t>
            </w:r>
            <w:r>
              <w:rPr>
                <w:rFonts w:hint="eastAsia" w:ascii="仿宋" w:hAnsi="仿宋" w:eastAsia="仿宋" w:cs="仿宋"/>
                <w:color w:val="333333"/>
                <w:sz w:val="22"/>
                <w:szCs w:val="22"/>
              </w:rPr>
              <w:t>人（</w:t>
            </w:r>
            <w:r>
              <w:rPr>
                <w:rFonts w:ascii="仿宋" w:hAnsi="仿宋" w:eastAsia="仿宋" w:cs="仿宋"/>
                <w:color w:val="333333"/>
                <w:sz w:val="22"/>
                <w:szCs w:val="22"/>
              </w:rPr>
              <w:t>60%+20%+10%+10%</w:t>
            </w:r>
            <w:r>
              <w:rPr>
                <w:rFonts w:hint="eastAsia" w:ascii="仿宋" w:hAnsi="仿宋" w:eastAsia="仿宋" w:cs="仿宋"/>
                <w:color w:val="333333"/>
                <w:sz w:val="22"/>
                <w:szCs w:val="22"/>
              </w:rPr>
              <w:t>）、团队共</w:t>
            </w:r>
            <w:r>
              <w:rPr>
                <w:rFonts w:ascii="仿宋" w:hAnsi="仿宋" w:eastAsia="仿宋" w:cs="仿宋"/>
                <w:color w:val="333333"/>
                <w:sz w:val="22"/>
                <w:szCs w:val="22"/>
              </w:rPr>
              <w:t>5</w:t>
            </w:r>
            <w:r>
              <w:rPr>
                <w:rFonts w:hint="eastAsia" w:ascii="仿宋" w:hAnsi="仿宋" w:eastAsia="仿宋" w:cs="仿宋"/>
                <w:color w:val="333333"/>
                <w:sz w:val="22"/>
                <w:szCs w:val="22"/>
              </w:rPr>
              <w:t>人（</w:t>
            </w:r>
            <w:r>
              <w:rPr>
                <w:rFonts w:ascii="仿宋" w:hAnsi="仿宋" w:eastAsia="仿宋" w:cs="仿宋"/>
                <w:color w:val="333333"/>
                <w:sz w:val="22"/>
                <w:szCs w:val="22"/>
              </w:rPr>
              <w:t>60%+10%+10%+10%+10%</w:t>
            </w:r>
            <w:r>
              <w:rPr>
                <w:rFonts w:hint="eastAsia" w:ascii="仿宋" w:hAnsi="仿宋" w:eastAsia="仿宋" w:cs="仿宋"/>
                <w:color w:val="333333"/>
                <w:sz w:val="22"/>
                <w:szCs w:val="22"/>
              </w:rPr>
              <w:t>）、团队共</w:t>
            </w:r>
            <w:r>
              <w:rPr>
                <w:rFonts w:ascii="仿宋" w:hAnsi="仿宋" w:eastAsia="仿宋" w:cs="仿宋"/>
                <w:color w:val="333333"/>
                <w:sz w:val="22"/>
                <w:szCs w:val="22"/>
              </w:rPr>
              <w:t>6</w:t>
            </w:r>
            <w:r>
              <w:rPr>
                <w:rFonts w:hint="eastAsia" w:ascii="仿宋" w:hAnsi="仿宋" w:eastAsia="仿宋" w:cs="仿宋"/>
                <w:color w:val="333333"/>
                <w:sz w:val="22"/>
                <w:szCs w:val="22"/>
              </w:rPr>
              <w:t>人（</w:t>
            </w:r>
            <w:r>
              <w:rPr>
                <w:rFonts w:ascii="仿宋" w:hAnsi="仿宋" w:eastAsia="仿宋" w:cs="仿宋"/>
                <w:color w:val="333333"/>
                <w:sz w:val="22"/>
                <w:szCs w:val="22"/>
              </w:rPr>
              <w:t>50%+10%+10%+10%+10%+10%</w:t>
            </w:r>
            <w:r>
              <w:rPr>
                <w:rFonts w:hint="eastAsia" w:ascii="仿宋" w:hAnsi="仿宋" w:eastAsia="仿宋" w:cs="仿宋"/>
                <w:color w:val="333333"/>
                <w:sz w:val="22"/>
                <w:szCs w:val="22"/>
              </w:rPr>
              <w:t>）、团队</w:t>
            </w:r>
            <w:r>
              <w:rPr>
                <w:rFonts w:ascii="仿宋" w:hAnsi="仿宋" w:eastAsia="仿宋" w:cs="仿宋"/>
                <w:color w:val="333333"/>
                <w:sz w:val="22"/>
                <w:szCs w:val="22"/>
              </w:rPr>
              <w:t>6</w:t>
            </w:r>
            <w:r>
              <w:rPr>
                <w:rFonts w:hint="eastAsia" w:ascii="仿宋" w:hAnsi="仿宋" w:eastAsia="仿宋" w:cs="仿宋"/>
                <w:color w:val="333333"/>
                <w:sz w:val="22"/>
                <w:szCs w:val="22"/>
              </w:rPr>
              <w:t>人以上（主持人</w:t>
            </w:r>
            <w:r>
              <w:rPr>
                <w:rFonts w:ascii="仿宋" w:hAnsi="仿宋" w:eastAsia="仿宋" w:cs="仿宋"/>
                <w:color w:val="333333"/>
                <w:sz w:val="22"/>
                <w:szCs w:val="22"/>
              </w:rPr>
              <w:t>50%</w:t>
            </w:r>
            <w:r>
              <w:rPr>
                <w:rFonts w:hint="eastAsia" w:ascii="仿宋" w:hAnsi="仿宋" w:eastAsia="仿宋" w:cs="仿宋"/>
                <w:color w:val="333333"/>
                <w:sz w:val="22"/>
                <w:szCs w:val="22"/>
              </w:rPr>
              <w:t>，剩下成员均分</w:t>
            </w:r>
            <w:r>
              <w:rPr>
                <w:rFonts w:ascii="仿宋" w:hAnsi="仿宋" w:eastAsia="仿宋" w:cs="仿宋"/>
                <w:color w:val="333333"/>
                <w:sz w:val="22"/>
                <w:szCs w:val="22"/>
              </w:rPr>
              <w:t>50%</w:t>
            </w:r>
            <w:r>
              <w:rPr>
                <w:rFonts w:hint="eastAsia" w:ascii="仿宋" w:hAnsi="仿宋" w:eastAsia="仿宋" w:cs="仿宋"/>
                <w:color w:val="333333"/>
                <w:sz w:val="22"/>
                <w:szCs w:val="22"/>
              </w:rPr>
              <w:t>）；</w:t>
            </w:r>
          </w:p>
          <w:p>
            <w:pPr>
              <w:pStyle w:val="6"/>
              <w:numPr>
                <w:ilvl w:val="0"/>
                <w:numId w:val="5"/>
              </w:numPr>
              <w:spacing w:before="0" w:beforeAutospacing="0" w:after="0" w:afterAutospacing="0"/>
              <w:rPr>
                <w:rFonts w:ascii="仿宋" w:hAnsi="仿宋" w:eastAsia="仿宋" w:cs="Times New Roman"/>
                <w:color w:val="333333"/>
                <w:sz w:val="22"/>
                <w:szCs w:val="22"/>
              </w:rPr>
            </w:pPr>
            <w:r>
              <w:rPr>
                <w:rFonts w:hint="eastAsia" w:ascii="仿宋" w:hAnsi="仿宋" w:eastAsia="仿宋" w:cs="仿宋"/>
                <w:color w:val="333333"/>
                <w:sz w:val="22"/>
                <w:szCs w:val="22"/>
              </w:rPr>
              <w:t>如有不在列的比赛获奖，学生也可提交，经专家组认定后酌情加分；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25</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20</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20</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15</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13</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特等奖</w:t>
            </w:r>
            <w:r>
              <w:rPr>
                <w:rFonts w:ascii="仿宋" w:hAnsi="仿宋" w:eastAsia="仿宋" w:cs="仿宋"/>
                <w:color w:val="333333"/>
              </w:rPr>
              <w:t>/</w:t>
            </w:r>
            <w:r>
              <w:rPr>
                <w:rFonts w:hint="eastAsia" w:ascii="仿宋" w:hAnsi="仿宋" w:eastAsia="仿宋" w:cs="仿宋"/>
                <w:color w:val="333333"/>
              </w:rPr>
              <w:t>金奖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r>
              <w:rPr>
                <w:rFonts w:ascii="仿宋" w:hAnsi="仿宋" w:eastAsia="仿宋" w:cs="仿宋"/>
                <w:color w:val="333333"/>
              </w:rPr>
              <w:t>/</w:t>
            </w:r>
            <w:r>
              <w:rPr>
                <w:rFonts w:hint="eastAsia" w:ascii="仿宋" w:hAnsi="仿宋" w:eastAsia="仿宋" w:cs="仿宋"/>
                <w:color w:val="333333"/>
              </w:rPr>
              <w:t>银奖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6</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r>
              <w:rPr>
                <w:rFonts w:ascii="仿宋" w:hAnsi="仿宋" w:eastAsia="仿宋" w:cs="仿宋"/>
                <w:color w:val="333333"/>
              </w:rPr>
              <w:t>/</w:t>
            </w:r>
            <w:r>
              <w:rPr>
                <w:rFonts w:hint="eastAsia" w:ascii="仿宋" w:hAnsi="仿宋" w:eastAsia="仿宋" w:cs="仿宋"/>
                <w:color w:val="333333"/>
              </w:rPr>
              <w:t>铜奖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r>
              <w:rPr>
                <w:rFonts w:ascii="仿宋" w:hAnsi="仿宋" w:eastAsia="仿宋" w:cs="仿宋"/>
                <w:color w:val="333333"/>
              </w:rPr>
              <w:t>/</w:t>
            </w:r>
            <w:r>
              <w:rPr>
                <w:rFonts w:hint="eastAsia" w:ascii="仿宋" w:hAnsi="仿宋" w:eastAsia="仿宋" w:cs="仿宋"/>
                <w:color w:val="333333"/>
              </w:rPr>
              <w:t>优胜奖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2</w:t>
            </w:r>
          </w:p>
        </w:tc>
        <w:tc>
          <w:tcPr>
            <w:tcW w:w="4394" w:type="dxa"/>
            <w:vMerge w:val="continue"/>
            <w:vAlign w:val="center"/>
          </w:tcPr>
          <w:p>
            <w:pPr>
              <w:pStyle w:val="6"/>
              <w:numPr>
                <w:ilvl w:val="0"/>
                <w:numId w:val="5"/>
              </w:numPr>
              <w:spacing w:before="0" w:after="0"/>
              <w:rPr>
                <w:rFonts w:ascii="仿宋" w:hAnsi="仿宋" w:eastAsia="仿宋" w:cs="Times New Roman"/>
                <w:b/>
                <w:bCs/>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各类学科竞赛</w:t>
            </w: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18</w:t>
            </w:r>
          </w:p>
        </w:tc>
        <w:tc>
          <w:tcPr>
            <w:tcW w:w="4394" w:type="dxa"/>
            <w:vMerge w:val="continue"/>
            <w:vAlign w:val="center"/>
          </w:tcPr>
          <w:p>
            <w:pPr>
              <w:pStyle w:val="6"/>
              <w:numPr>
                <w:ilvl w:val="0"/>
                <w:numId w:val="5"/>
              </w:numPr>
              <w:spacing w:before="0" w:beforeAutospacing="0" w:after="0" w:afterAutospacing="0"/>
              <w:rPr>
                <w:rFonts w:ascii="仿宋" w:hAnsi="仿宋" w:eastAsia="仿宋" w:cs="Times New Roman"/>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13</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7</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3</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核心专业技能竞赛</w:t>
            </w: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国家级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18</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13</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8</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省级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12</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10</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7</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restart"/>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校级</w:t>
            </w: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一等奖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5</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二等奖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4</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20"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624" w:type="dxa"/>
            <w:vMerge w:val="continue"/>
            <w:vAlign w:val="center"/>
          </w:tcPr>
          <w:p>
            <w:pPr>
              <w:pStyle w:val="6"/>
              <w:spacing w:before="0" w:beforeAutospacing="0" w:after="0" w:afterAutospacing="0"/>
              <w:jc w:val="center"/>
              <w:rPr>
                <w:rFonts w:ascii="仿宋" w:hAnsi="仿宋" w:eastAsia="仿宋" w:cs="Times New Roman"/>
                <w:color w:val="333333"/>
              </w:rPr>
            </w:pPr>
          </w:p>
        </w:tc>
        <w:tc>
          <w:tcPr>
            <w:tcW w:w="2051" w:type="dxa"/>
            <w:vAlign w:val="center"/>
          </w:tcPr>
          <w:p>
            <w:pPr>
              <w:pStyle w:val="6"/>
              <w:spacing w:before="0" w:beforeAutospacing="0" w:after="0" w:afterAutospacing="0"/>
              <w:jc w:val="center"/>
              <w:rPr>
                <w:rFonts w:ascii="仿宋" w:hAnsi="仿宋" w:eastAsia="仿宋" w:cs="Times New Roman"/>
                <w:color w:val="333333"/>
              </w:rPr>
            </w:pPr>
            <w:r>
              <w:rPr>
                <w:rFonts w:hint="eastAsia" w:ascii="仿宋" w:hAnsi="仿宋" w:eastAsia="仿宋" w:cs="仿宋"/>
                <w:color w:val="333333"/>
              </w:rPr>
              <w:t>三等奖</w:t>
            </w:r>
          </w:p>
        </w:tc>
        <w:tc>
          <w:tcPr>
            <w:tcW w:w="567" w:type="dxa"/>
            <w:vAlign w:val="center"/>
          </w:tcPr>
          <w:p>
            <w:pPr>
              <w:pStyle w:val="6"/>
              <w:spacing w:before="0" w:beforeAutospacing="0" w:after="0" w:afterAutospacing="0"/>
              <w:jc w:val="center"/>
              <w:rPr>
                <w:rFonts w:ascii="仿宋" w:hAnsi="仿宋" w:eastAsia="仿宋" w:cs="仿宋"/>
                <w:color w:val="333333"/>
              </w:rPr>
            </w:pPr>
            <w:r>
              <w:rPr>
                <w:rFonts w:ascii="仿宋" w:hAnsi="仿宋" w:eastAsia="仿宋" w:cs="仿宋"/>
                <w:color w:val="333333"/>
              </w:rPr>
              <w:t>3</w:t>
            </w:r>
          </w:p>
        </w:tc>
        <w:tc>
          <w:tcPr>
            <w:tcW w:w="4394" w:type="dxa"/>
            <w:vMerge w:val="continue"/>
            <w:vAlign w:val="center"/>
          </w:tcPr>
          <w:p>
            <w:pPr>
              <w:pStyle w:val="6"/>
              <w:spacing w:before="0" w:beforeAutospacing="0" w:after="0" w:afterAutospacing="0"/>
              <w:jc w:val="center"/>
              <w:rPr>
                <w:rFonts w:ascii="仿宋" w:hAnsi="仿宋" w:eastAsia="仿宋" w:cs="仿宋"/>
                <w:color w:val="333333"/>
              </w:rPr>
            </w:pPr>
          </w:p>
        </w:tc>
      </w:tr>
    </w:tbl>
    <w:p>
      <w:pPr>
        <w:rPr>
          <w:rFonts w:cs="Times New Roman"/>
        </w:rPr>
      </w:pPr>
    </w:p>
    <w:p>
      <w:pPr>
        <w:pStyle w:val="6"/>
        <w:numPr>
          <w:ilvl w:val="0"/>
          <w:numId w:val="1"/>
        </w:numPr>
        <w:spacing w:before="0" w:beforeAutospacing="0" w:after="0" w:afterAutospacing="0"/>
        <w:rPr>
          <w:rFonts w:cs="Times New Roman"/>
          <w:b/>
          <w:bCs/>
          <w:sz w:val="28"/>
          <w:szCs w:val="28"/>
        </w:rPr>
      </w:pPr>
      <w:r>
        <w:rPr>
          <w:rFonts w:hint="eastAsia"/>
          <w:b/>
          <w:bCs/>
          <w:sz w:val="28"/>
          <w:szCs w:val="28"/>
        </w:rPr>
        <w:t>其他</w:t>
      </w:r>
    </w:p>
    <w:p>
      <w:pPr>
        <w:pStyle w:val="6"/>
        <w:spacing w:before="0" w:beforeAutospacing="0" w:after="0" w:afterAutospacing="0"/>
        <w:rPr>
          <w:rFonts w:cs="Times New Roman"/>
          <w:b/>
          <w:bCs/>
          <w:sz w:val="28"/>
          <w:szCs w:val="28"/>
        </w:rPr>
      </w:pPr>
      <w:r>
        <w:rPr>
          <w:rFonts w:hint="eastAsia" w:ascii="仿宋" w:hAnsi="仿宋" w:eastAsia="仿宋" w:cs="仿宋"/>
          <w:sz w:val="22"/>
          <w:szCs w:val="22"/>
        </w:rPr>
        <w:t>学院自</w:t>
      </w:r>
      <w:r>
        <w:rPr>
          <w:rFonts w:ascii="仿宋" w:hAnsi="仿宋" w:eastAsia="仿宋" w:cs="仿宋"/>
          <w:sz w:val="22"/>
          <w:szCs w:val="22"/>
        </w:rPr>
        <w:t>2023</w:t>
      </w:r>
      <w:r>
        <w:rPr>
          <w:rFonts w:hint="eastAsia" w:ascii="仿宋" w:hAnsi="仿宋" w:eastAsia="仿宋" w:cs="仿宋"/>
          <w:sz w:val="22"/>
          <w:szCs w:val="22"/>
        </w:rPr>
        <w:t>届预毕业生的推免工作起，增加申请推免学生的课程重修情况考察，对学业优秀无重修记录的学生，在综合评价的学业成绩中给予以下加分（加分后总分超</w:t>
      </w:r>
      <w:r>
        <w:rPr>
          <w:rFonts w:ascii="仿宋" w:hAnsi="仿宋" w:eastAsia="仿宋" w:cs="仿宋"/>
          <w:sz w:val="22"/>
          <w:szCs w:val="22"/>
        </w:rPr>
        <w:t>400</w:t>
      </w:r>
      <w:r>
        <w:rPr>
          <w:rFonts w:hint="eastAsia" w:ascii="仿宋" w:hAnsi="仿宋" w:eastAsia="仿宋" w:cs="仿宋"/>
          <w:sz w:val="22"/>
          <w:szCs w:val="22"/>
        </w:rPr>
        <w:t>分的分值予以忽略）：</w:t>
      </w:r>
      <w:r>
        <w:rPr>
          <w:b/>
          <w:bCs/>
          <w:sz w:val="28"/>
          <w:szCs w:val="28"/>
        </w:rPr>
        <w:t xml:space="preserve"> </w:t>
      </w:r>
    </w:p>
    <w:tbl>
      <w:tblPr>
        <w:tblStyle w:val="9"/>
        <w:tblW w:w="90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2268"/>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94"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类别</w:t>
            </w:r>
          </w:p>
        </w:tc>
        <w:tc>
          <w:tcPr>
            <w:tcW w:w="2268"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加分</w:t>
            </w:r>
          </w:p>
        </w:tc>
        <w:tc>
          <w:tcPr>
            <w:tcW w:w="4111" w:type="dxa"/>
          </w:tcPr>
          <w:p>
            <w:pPr>
              <w:pStyle w:val="6"/>
              <w:spacing w:before="0" w:beforeAutospacing="0" w:after="0" w:afterAutospacing="0"/>
              <w:jc w:val="center"/>
              <w:rPr>
                <w:rFonts w:cs="Times New Roman"/>
                <w:b/>
                <w:bCs/>
                <w:color w:val="333333"/>
                <w:sz w:val="21"/>
                <w:szCs w:val="21"/>
              </w:rPr>
            </w:pPr>
            <w:r>
              <w:rPr>
                <w:rFonts w:hint="eastAsia"/>
                <w:b/>
                <w:bCs/>
                <w:color w:val="333333"/>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94" w:type="dxa"/>
            <w:vMerge w:val="restart"/>
          </w:tcPr>
          <w:p>
            <w:pPr>
              <w:pStyle w:val="6"/>
              <w:spacing w:before="0" w:beforeAutospacing="0" w:after="156" w:afterLines="50" w:afterAutospacing="0"/>
              <w:rPr>
                <w:rFonts w:ascii="仿宋" w:hAnsi="仿宋" w:eastAsia="仿宋" w:cs="Times New Roman"/>
                <w:color w:val="333333"/>
                <w:sz w:val="22"/>
                <w:szCs w:val="22"/>
              </w:rPr>
            </w:pPr>
          </w:p>
          <w:p>
            <w:pPr>
              <w:pStyle w:val="6"/>
              <w:spacing w:before="0" w:beforeAutospacing="0" w:after="156" w:afterLines="50" w:afterAutospacing="0"/>
              <w:rPr>
                <w:rFonts w:ascii="仿宋" w:hAnsi="仿宋" w:eastAsia="仿宋" w:cs="Times New Roman"/>
                <w:color w:val="333333"/>
                <w:sz w:val="22"/>
                <w:szCs w:val="22"/>
              </w:rPr>
            </w:pPr>
          </w:p>
          <w:p>
            <w:pPr>
              <w:pStyle w:val="6"/>
              <w:spacing w:before="0" w:beforeAutospacing="0" w:after="156" w:afterLines="50" w:afterAutospacing="0"/>
              <w:rPr>
                <w:rFonts w:ascii="仿宋" w:hAnsi="仿宋" w:eastAsia="仿宋" w:cs="Times New Roman"/>
                <w:color w:val="333333"/>
                <w:sz w:val="22"/>
                <w:szCs w:val="22"/>
              </w:rPr>
            </w:pPr>
            <w:r>
              <w:rPr>
                <w:rFonts w:hint="eastAsia" w:ascii="仿宋" w:hAnsi="仿宋" w:eastAsia="仿宋" w:cs="仿宋"/>
                <w:color w:val="333333"/>
                <w:sz w:val="22"/>
                <w:szCs w:val="22"/>
              </w:rPr>
              <w:t>学生三年内课程重修加分</w:t>
            </w: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3</w:t>
            </w:r>
          </w:p>
        </w:tc>
        <w:tc>
          <w:tcPr>
            <w:tcW w:w="4111" w:type="dxa"/>
            <w:vAlign w:val="center"/>
          </w:tcPr>
          <w:p>
            <w:pPr>
              <w:pStyle w:val="6"/>
              <w:spacing w:before="0" w:beforeAutospacing="0" w:after="156" w:afterLines="50" w:afterAutospacing="0"/>
              <w:jc w:val="center"/>
              <w:rPr>
                <w:rFonts w:ascii="仿宋" w:hAnsi="仿宋" w:eastAsia="仿宋" w:cs="Times New Roman"/>
                <w:color w:val="333333"/>
                <w:sz w:val="22"/>
                <w:szCs w:val="22"/>
              </w:rPr>
            </w:pPr>
            <w:r>
              <w:rPr>
                <w:rFonts w:hint="eastAsia" w:ascii="仿宋" w:hAnsi="仿宋" w:eastAsia="仿宋" w:cs="仿宋"/>
                <w:color w:val="333333"/>
                <w:sz w:val="22"/>
                <w:szCs w:val="22"/>
              </w:rPr>
              <w:t>无重修课程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94" w:type="dxa"/>
            <w:vMerge w:val="continue"/>
          </w:tcPr>
          <w:p>
            <w:pPr>
              <w:pStyle w:val="6"/>
              <w:spacing w:before="0" w:beforeAutospacing="0" w:after="156" w:afterLines="50" w:afterAutospacing="0"/>
              <w:rPr>
                <w:rFonts w:ascii="仿宋" w:hAnsi="仿宋" w:eastAsia="仿宋" w:cs="Times New Roman"/>
                <w:color w:val="333333"/>
                <w:sz w:val="22"/>
                <w:szCs w:val="22"/>
              </w:rPr>
            </w:pP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2</w:t>
            </w:r>
          </w:p>
        </w:tc>
        <w:tc>
          <w:tcPr>
            <w:tcW w:w="4111" w:type="dxa"/>
            <w:vAlign w:val="center"/>
          </w:tcPr>
          <w:p>
            <w:pPr>
              <w:pStyle w:val="6"/>
              <w:spacing w:before="0" w:beforeAutospacing="0" w:after="156" w:afterLines="50" w:afterAutospacing="0"/>
              <w:jc w:val="center"/>
              <w:rPr>
                <w:rFonts w:ascii="仿宋" w:hAnsi="仿宋" w:eastAsia="仿宋" w:cs="Times New Roman"/>
                <w:color w:val="333333"/>
                <w:sz w:val="22"/>
                <w:szCs w:val="22"/>
              </w:rPr>
            </w:pPr>
            <w:r>
              <w:rPr>
                <w:rFonts w:hint="eastAsia" w:ascii="仿宋" w:hAnsi="仿宋" w:eastAsia="仿宋" w:cs="仿宋"/>
                <w:color w:val="333333"/>
                <w:sz w:val="22"/>
                <w:szCs w:val="22"/>
              </w:rPr>
              <w:t>重修</w:t>
            </w:r>
            <w:r>
              <w:rPr>
                <w:rFonts w:ascii="仿宋" w:hAnsi="仿宋" w:eastAsia="仿宋" w:cs="仿宋"/>
                <w:color w:val="333333"/>
                <w:sz w:val="22"/>
                <w:szCs w:val="22"/>
              </w:rPr>
              <w:t>1</w:t>
            </w:r>
            <w:r>
              <w:rPr>
                <w:rFonts w:hint="eastAsia" w:ascii="仿宋" w:hAnsi="仿宋" w:eastAsia="仿宋" w:cs="仿宋"/>
                <w:color w:val="333333"/>
                <w:sz w:val="22"/>
                <w:szCs w:val="2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94" w:type="dxa"/>
            <w:vMerge w:val="continue"/>
          </w:tcPr>
          <w:p>
            <w:pPr>
              <w:pStyle w:val="6"/>
              <w:spacing w:before="0" w:beforeAutospacing="0" w:after="156" w:afterLines="50" w:afterAutospacing="0"/>
              <w:rPr>
                <w:rFonts w:ascii="仿宋" w:hAnsi="仿宋" w:eastAsia="仿宋" w:cs="Times New Roman"/>
                <w:color w:val="333333"/>
                <w:sz w:val="22"/>
                <w:szCs w:val="22"/>
              </w:rPr>
            </w:pP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1</w:t>
            </w:r>
          </w:p>
        </w:tc>
        <w:tc>
          <w:tcPr>
            <w:tcW w:w="4111" w:type="dxa"/>
            <w:vAlign w:val="center"/>
          </w:tcPr>
          <w:p>
            <w:pPr>
              <w:pStyle w:val="6"/>
              <w:spacing w:before="0" w:beforeAutospacing="0" w:after="156" w:afterLines="50" w:afterAutospacing="0"/>
              <w:jc w:val="center"/>
              <w:rPr>
                <w:rFonts w:ascii="仿宋" w:hAnsi="仿宋" w:eastAsia="仿宋" w:cs="Times New Roman"/>
                <w:color w:val="333333"/>
                <w:sz w:val="22"/>
                <w:szCs w:val="22"/>
              </w:rPr>
            </w:pPr>
            <w:r>
              <w:rPr>
                <w:rFonts w:hint="eastAsia" w:ascii="仿宋" w:hAnsi="仿宋" w:eastAsia="仿宋" w:cs="仿宋"/>
                <w:color w:val="333333"/>
                <w:sz w:val="22"/>
                <w:szCs w:val="22"/>
              </w:rPr>
              <w:t>重修</w:t>
            </w:r>
            <w:r>
              <w:rPr>
                <w:rFonts w:ascii="仿宋" w:hAnsi="仿宋" w:eastAsia="仿宋" w:cs="仿宋"/>
                <w:color w:val="333333"/>
                <w:sz w:val="22"/>
                <w:szCs w:val="22"/>
              </w:rPr>
              <w:t>2</w:t>
            </w:r>
            <w:r>
              <w:rPr>
                <w:rFonts w:hint="eastAsia" w:ascii="仿宋" w:hAnsi="仿宋" w:eastAsia="仿宋" w:cs="仿宋"/>
                <w:color w:val="333333"/>
                <w:sz w:val="22"/>
                <w:szCs w:val="22"/>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694" w:type="dxa"/>
            <w:vMerge w:val="continue"/>
          </w:tcPr>
          <w:p>
            <w:pPr>
              <w:pStyle w:val="6"/>
              <w:spacing w:before="0" w:beforeAutospacing="0" w:after="156" w:afterLines="50" w:afterAutospacing="0"/>
              <w:rPr>
                <w:rFonts w:ascii="仿宋" w:hAnsi="仿宋" w:eastAsia="仿宋" w:cs="Times New Roman"/>
                <w:color w:val="333333"/>
                <w:sz w:val="22"/>
                <w:szCs w:val="22"/>
              </w:rPr>
            </w:pPr>
          </w:p>
        </w:tc>
        <w:tc>
          <w:tcPr>
            <w:tcW w:w="2268" w:type="dxa"/>
            <w:vAlign w:val="center"/>
          </w:tcPr>
          <w:p>
            <w:pPr>
              <w:pStyle w:val="6"/>
              <w:spacing w:before="0" w:beforeAutospacing="0" w:after="156" w:afterLines="50" w:afterAutospacing="0"/>
              <w:jc w:val="center"/>
              <w:rPr>
                <w:rFonts w:ascii="仿宋" w:hAnsi="仿宋" w:eastAsia="仿宋" w:cs="仿宋"/>
                <w:color w:val="333333"/>
              </w:rPr>
            </w:pPr>
            <w:r>
              <w:rPr>
                <w:rFonts w:ascii="仿宋" w:hAnsi="仿宋" w:eastAsia="仿宋" w:cs="仿宋"/>
                <w:color w:val="333333"/>
              </w:rPr>
              <w:t>0</w:t>
            </w:r>
          </w:p>
        </w:tc>
        <w:tc>
          <w:tcPr>
            <w:tcW w:w="4111" w:type="dxa"/>
            <w:vAlign w:val="center"/>
          </w:tcPr>
          <w:p>
            <w:pPr>
              <w:pStyle w:val="6"/>
              <w:spacing w:before="0" w:beforeAutospacing="0" w:after="156" w:afterLines="50" w:afterAutospacing="0"/>
              <w:jc w:val="center"/>
              <w:rPr>
                <w:rFonts w:ascii="仿宋" w:hAnsi="仿宋" w:eastAsia="仿宋" w:cs="Times New Roman"/>
                <w:color w:val="333333"/>
                <w:sz w:val="22"/>
                <w:szCs w:val="22"/>
              </w:rPr>
            </w:pPr>
            <w:r>
              <w:rPr>
                <w:rFonts w:hint="eastAsia" w:ascii="仿宋" w:hAnsi="仿宋" w:eastAsia="仿宋" w:cs="仿宋"/>
                <w:color w:val="333333"/>
                <w:sz w:val="22"/>
                <w:szCs w:val="22"/>
              </w:rPr>
              <w:t>重修</w:t>
            </w:r>
            <w:r>
              <w:rPr>
                <w:rFonts w:ascii="仿宋" w:hAnsi="仿宋" w:eastAsia="仿宋" w:cs="仿宋"/>
                <w:color w:val="333333"/>
                <w:sz w:val="22"/>
                <w:szCs w:val="22"/>
              </w:rPr>
              <w:t>3</w:t>
            </w:r>
            <w:r>
              <w:rPr>
                <w:rFonts w:hint="eastAsia" w:ascii="仿宋" w:hAnsi="仿宋" w:eastAsia="仿宋" w:cs="仿宋"/>
                <w:color w:val="333333"/>
                <w:sz w:val="22"/>
                <w:szCs w:val="22"/>
              </w:rPr>
              <w:t>门及以上</w:t>
            </w:r>
          </w:p>
        </w:tc>
      </w:tr>
    </w:tbl>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E2879"/>
    <w:multiLevelType w:val="multilevel"/>
    <w:tmpl w:val="00BE28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9A1D70"/>
    <w:multiLevelType w:val="multilevel"/>
    <w:tmpl w:val="389A1D7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017633"/>
    <w:multiLevelType w:val="multilevel"/>
    <w:tmpl w:val="45017633"/>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87A21B5"/>
    <w:multiLevelType w:val="multilevel"/>
    <w:tmpl w:val="487A21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5E639F"/>
    <w:multiLevelType w:val="multilevel"/>
    <w:tmpl w:val="665E63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056"/>
    <w:rsid w:val="000002D0"/>
    <w:rsid w:val="00025E0A"/>
    <w:rsid w:val="000304B1"/>
    <w:rsid w:val="000430C6"/>
    <w:rsid w:val="00093FCE"/>
    <w:rsid w:val="000E011F"/>
    <w:rsid w:val="00111913"/>
    <w:rsid w:val="00114086"/>
    <w:rsid w:val="0011523E"/>
    <w:rsid w:val="00123FB3"/>
    <w:rsid w:val="0012797D"/>
    <w:rsid w:val="00193A32"/>
    <w:rsid w:val="001C31FA"/>
    <w:rsid w:val="001F2D32"/>
    <w:rsid w:val="0020005E"/>
    <w:rsid w:val="00207122"/>
    <w:rsid w:val="0025238D"/>
    <w:rsid w:val="00264B76"/>
    <w:rsid w:val="00280FE9"/>
    <w:rsid w:val="002827C6"/>
    <w:rsid w:val="002974BF"/>
    <w:rsid w:val="002A3501"/>
    <w:rsid w:val="002A38B6"/>
    <w:rsid w:val="002A6900"/>
    <w:rsid w:val="002A72C8"/>
    <w:rsid w:val="002B15B6"/>
    <w:rsid w:val="002F4239"/>
    <w:rsid w:val="003119D8"/>
    <w:rsid w:val="0031790E"/>
    <w:rsid w:val="00347A9A"/>
    <w:rsid w:val="00382969"/>
    <w:rsid w:val="0038546E"/>
    <w:rsid w:val="00390AA5"/>
    <w:rsid w:val="003A7802"/>
    <w:rsid w:val="003C5A5E"/>
    <w:rsid w:val="003C6B1D"/>
    <w:rsid w:val="00411D78"/>
    <w:rsid w:val="004355A9"/>
    <w:rsid w:val="00446056"/>
    <w:rsid w:val="004726C4"/>
    <w:rsid w:val="004842F8"/>
    <w:rsid w:val="00527342"/>
    <w:rsid w:val="00543CCF"/>
    <w:rsid w:val="00553DD8"/>
    <w:rsid w:val="00585820"/>
    <w:rsid w:val="00595479"/>
    <w:rsid w:val="005A024B"/>
    <w:rsid w:val="005A1D3E"/>
    <w:rsid w:val="005C22E4"/>
    <w:rsid w:val="005D0717"/>
    <w:rsid w:val="005E3718"/>
    <w:rsid w:val="005F128A"/>
    <w:rsid w:val="005F66B5"/>
    <w:rsid w:val="005F7E48"/>
    <w:rsid w:val="00616C95"/>
    <w:rsid w:val="00617256"/>
    <w:rsid w:val="006437EE"/>
    <w:rsid w:val="00682547"/>
    <w:rsid w:val="00690D0B"/>
    <w:rsid w:val="006A01AB"/>
    <w:rsid w:val="006B7D36"/>
    <w:rsid w:val="006E4589"/>
    <w:rsid w:val="006E746D"/>
    <w:rsid w:val="007058D2"/>
    <w:rsid w:val="00742051"/>
    <w:rsid w:val="00753B42"/>
    <w:rsid w:val="0076158B"/>
    <w:rsid w:val="007704C9"/>
    <w:rsid w:val="007B30FB"/>
    <w:rsid w:val="007D059E"/>
    <w:rsid w:val="007D6B79"/>
    <w:rsid w:val="007E1D61"/>
    <w:rsid w:val="007F3975"/>
    <w:rsid w:val="00862BBC"/>
    <w:rsid w:val="00862EAF"/>
    <w:rsid w:val="00870389"/>
    <w:rsid w:val="008718CE"/>
    <w:rsid w:val="0088060E"/>
    <w:rsid w:val="008848AF"/>
    <w:rsid w:val="008A19EA"/>
    <w:rsid w:val="008B198C"/>
    <w:rsid w:val="008E3BF6"/>
    <w:rsid w:val="008E69FB"/>
    <w:rsid w:val="008F3168"/>
    <w:rsid w:val="008F631F"/>
    <w:rsid w:val="00903BBD"/>
    <w:rsid w:val="0091478C"/>
    <w:rsid w:val="00914881"/>
    <w:rsid w:val="00921F7C"/>
    <w:rsid w:val="00955B35"/>
    <w:rsid w:val="00983DF7"/>
    <w:rsid w:val="00992909"/>
    <w:rsid w:val="009978A3"/>
    <w:rsid w:val="009A07FB"/>
    <w:rsid w:val="009B24E1"/>
    <w:rsid w:val="009C2E75"/>
    <w:rsid w:val="009F3136"/>
    <w:rsid w:val="00A12485"/>
    <w:rsid w:val="00A1376E"/>
    <w:rsid w:val="00A304BB"/>
    <w:rsid w:val="00A31056"/>
    <w:rsid w:val="00A31D91"/>
    <w:rsid w:val="00A35948"/>
    <w:rsid w:val="00A800AC"/>
    <w:rsid w:val="00AA175F"/>
    <w:rsid w:val="00B22DEB"/>
    <w:rsid w:val="00B6774E"/>
    <w:rsid w:val="00B946A2"/>
    <w:rsid w:val="00BB5B8D"/>
    <w:rsid w:val="00BD1218"/>
    <w:rsid w:val="00BE5DC2"/>
    <w:rsid w:val="00BF26F9"/>
    <w:rsid w:val="00C016F4"/>
    <w:rsid w:val="00C175BE"/>
    <w:rsid w:val="00C30E8E"/>
    <w:rsid w:val="00C6369C"/>
    <w:rsid w:val="00C66347"/>
    <w:rsid w:val="00C918A8"/>
    <w:rsid w:val="00C96891"/>
    <w:rsid w:val="00C97DE9"/>
    <w:rsid w:val="00CF6427"/>
    <w:rsid w:val="00D25725"/>
    <w:rsid w:val="00D5793A"/>
    <w:rsid w:val="00DC2893"/>
    <w:rsid w:val="00DD6C15"/>
    <w:rsid w:val="00DE1099"/>
    <w:rsid w:val="00E16D0F"/>
    <w:rsid w:val="00E23FB2"/>
    <w:rsid w:val="00E5524C"/>
    <w:rsid w:val="00E678FA"/>
    <w:rsid w:val="00E81AF7"/>
    <w:rsid w:val="00E84B6F"/>
    <w:rsid w:val="00EB561D"/>
    <w:rsid w:val="00EC2137"/>
    <w:rsid w:val="00ED7B3C"/>
    <w:rsid w:val="00EF4586"/>
    <w:rsid w:val="00F00764"/>
    <w:rsid w:val="00F02534"/>
    <w:rsid w:val="00F158AE"/>
    <w:rsid w:val="00F205AB"/>
    <w:rsid w:val="00F339A8"/>
    <w:rsid w:val="00F37553"/>
    <w:rsid w:val="00F46EB4"/>
    <w:rsid w:val="00F7001C"/>
    <w:rsid w:val="00F77891"/>
    <w:rsid w:val="00F876DE"/>
    <w:rsid w:val="00FB4C1A"/>
    <w:rsid w:val="00FD19D4"/>
    <w:rsid w:val="00FD5706"/>
    <w:rsid w:val="00FE4025"/>
    <w:rsid w:val="00FE5DAE"/>
    <w:rsid w:val="00FF2421"/>
    <w:rsid w:val="00FF6DF9"/>
    <w:rsid w:val="076C220C"/>
    <w:rsid w:val="1F27080D"/>
    <w:rsid w:val="38BC461F"/>
    <w:rsid w:val="54EB63DB"/>
    <w:rsid w:val="5EBC49FE"/>
    <w:rsid w:val="611C2E3C"/>
    <w:rsid w:val="64D12C45"/>
    <w:rsid w:val="65403B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link w:val="17"/>
    <w:qFormat/>
    <w:uiPriority w:val="99"/>
    <w:pPr>
      <w:spacing w:before="240" w:after="60"/>
      <w:jc w:val="center"/>
      <w:outlineLvl w:val="0"/>
    </w:pPr>
    <w:rPr>
      <w:rFonts w:ascii="Cambria" w:hAnsi="Cambria" w:cs="Cambria"/>
      <w:b/>
      <w:bCs/>
      <w:sz w:val="32"/>
      <w:szCs w:val="32"/>
    </w:rPr>
  </w:style>
  <w:style w:type="paragraph" w:styleId="8">
    <w:name w:val="annotation subject"/>
    <w:basedOn w:val="2"/>
    <w:next w:val="2"/>
    <w:link w:val="18"/>
    <w:semiHidden/>
    <w:qFormat/>
    <w:uiPriority w:val="99"/>
    <w:rPr>
      <w:b/>
      <w:bCs/>
    </w:rPr>
  </w:style>
  <w:style w:type="table" w:styleId="10">
    <w:name w:val="Table Grid"/>
    <w:basedOn w:val="9"/>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semiHidden/>
    <w:qFormat/>
    <w:uiPriority w:val="99"/>
    <w:rPr>
      <w:sz w:val="21"/>
      <w:szCs w:val="21"/>
    </w:rPr>
  </w:style>
  <w:style w:type="character" w:customStyle="1" w:styleId="13">
    <w:name w:val="批注文字 字符"/>
    <w:basedOn w:val="11"/>
    <w:link w:val="2"/>
    <w:semiHidden/>
    <w:qFormat/>
    <w:locked/>
    <w:uiPriority w:val="99"/>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character" w:customStyle="1" w:styleId="17">
    <w:name w:val="标题 字符"/>
    <w:link w:val="7"/>
    <w:qFormat/>
    <w:locked/>
    <w:uiPriority w:val="99"/>
    <w:rPr>
      <w:rFonts w:ascii="Cambria" w:hAnsi="Cambria" w:eastAsia="宋体" w:cs="Cambria"/>
      <w:b/>
      <w:bCs/>
      <w:sz w:val="32"/>
      <w:szCs w:val="32"/>
    </w:rPr>
  </w:style>
  <w:style w:type="character" w:customStyle="1" w:styleId="18">
    <w:name w:val="批注主题 字符"/>
    <w:link w:val="8"/>
    <w:semiHidden/>
    <w:qFormat/>
    <w:locked/>
    <w:uiPriority w:val="99"/>
    <w:rPr>
      <w:b/>
      <w:bCs/>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苏州美宜电子科技有限公司</Company>
  <Pages>4</Pages>
  <Words>394</Words>
  <Characters>2247</Characters>
  <Lines>18</Lines>
  <Paragraphs>5</Paragraphs>
  <TotalTime>26</TotalTime>
  <ScaleCrop>false</ScaleCrop>
  <LinksUpToDate>false</LinksUpToDate>
  <CharactersWithSpaces>2636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2020-09-23T06:21:00Z</dcterms:created>
  <dc:creator>Windows 用户</dc:creator>
  <cp:lastModifiedBy>流云者</cp:lastModifiedBy>
  <dcterms:modified xsi:type="dcterms:W3CDTF">2021-09-14T00:44:41Z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1DE49614F0DA41B79CBCE89F8F596410</vt:lpwstr>
  </property>
</Properties>
</file>